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项目名称</w:t>
            </w:r>
          </w:p>
        </w:tc>
        <w:tc>
          <w:tcPr>
            <w:tcW w:w="7581" w:type="dxa"/>
            <w:gridSpan w:val="3"/>
            <w:tcBorders>
              <w:tl2br w:val="nil"/>
              <w:tr2bl w:val="nil"/>
            </w:tcBorders>
            <w:shd w:val="clear" w:color="auto" w:fill="auto"/>
            <w:vAlign w:val="center"/>
          </w:tcPr>
          <w:p>
            <w:pPr>
              <w:pStyle w:val="16"/>
            </w:pPr>
            <w:r>
              <w:rPr>
                <w:rFonts w:hint="eastAsia" w:hAnsi="宋体" w:cs="宋体"/>
                <w:b w:val="0"/>
                <w:bCs w:val="0"/>
                <w:szCs w:val="28"/>
              </w:rPr>
              <w:t>瓜州万华金昱能源有限公司瓜州县创鑫加油站建设项目安全设施竣工验收评价报告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完成时间</w:t>
            </w:r>
          </w:p>
        </w:tc>
        <w:tc>
          <w:tcPr>
            <w:tcW w:w="7581" w:type="dxa"/>
            <w:gridSpan w:val="3"/>
            <w:tcBorders>
              <w:tl2br w:val="nil"/>
              <w:tr2bl w:val="nil"/>
            </w:tcBorders>
            <w:shd w:val="clear" w:color="auto" w:fill="auto"/>
            <w:vAlign w:val="center"/>
          </w:tcPr>
          <w:p>
            <w:pPr>
              <w:pStyle w:val="16"/>
              <w:rPr>
                <w:rFonts w:hint="default" w:eastAsia="宋体"/>
                <w:lang w:val="en-US" w:eastAsia="zh-CN"/>
              </w:rPr>
            </w:pPr>
            <w:r>
              <w:rPr>
                <w:rFonts w:hint="eastAsia"/>
              </w:rPr>
              <w:t>20</w:t>
            </w:r>
            <w:r>
              <w:rPr>
                <w:rFonts w:hint="eastAsia"/>
                <w:lang w:val="en-US" w:eastAsia="zh-CN"/>
              </w:rPr>
              <w:t>24</w:t>
            </w:r>
            <w:r>
              <w:rPr>
                <w:rFonts w:hint="eastAsia"/>
              </w:rPr>
              <w:t>.</w:t>
            </w:r>
            <w:r>
              <w:rPr>
                <w:rFonts w:hint="eastAsia"/>
                <w:lang w:val="en-US" w:eastAsia="zh-CN"/>
              </w:rPr>
              <w:t>03</w:t>
            </w:r>
            <w:r>
              <w:rPr>
                <w:rFonts w:hint="eastAsia"/>
              </w:rPr>
              <w:t>.</w:t>
            </w:r>
            <w:r>
              <w:rPr>
                <w:rFonts w:hint="eastAsia"/>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6"/>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pPr>
            <w:r>
              <w:t>姓名</w:t>
            </w:r>
          </w:p>
        </w:tc>
        <w:tc>
          <w:tcPr>
            <w:tcW w:w="3864" w:type="dxa"/>
            <w:tcBorders>
              <w:tl2br w:val="nil"/>
              <w:tr2bl w:val="nil"/>
            </w:tcBorders>
            <w:shd w:val="clear" w:color="auto" w:fill="auto"/>
            <w:vAlign w:val="center"/>
          </w:tcPr>
          <w:p>
            <w:pPr>
              <w:pStyle w:val="16"/>
            </w:pPr>
            <w:r>
              <w:t>资格证书号</w:t>
            </w:r>
          </w:p>
        </w:tc>
        <w:tc>
          <w:tcPr>
            <w:tcW w:w="1897" w:type="dxa"/>
            <w:tcBorders>
              <w:tl2br w:val="nil"/>
              <w:tr2bl w:val="nil"/>
            </w:tcBorders>
            <w:shd w:val="clear" w:color="auto" w:fill="auto"/>
            <w:vAlign w:val="center"/>
          </w:tcPr>
          <w:p>
            <w:pPr>
              <w:pStyle w:val="16"/>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项目负责人</w:t>
            </w:r>
          </w:p>
        </w:tc>
        <w:tc>
          <w:tcPr>
            <w:tcW w:w="1820" w:type="dxa"/>
            <w:tcBorders>
              <w:tl2br w:val="nil"/>
              <w:tr2bl w:val="nil"/>
            </w:tcBorders>
            <w:shd w:val="clear" w:color="auto" w:fill="auto"/>
            <w:vAlign w:val="center"/>
          </w:tcPr>
          <w:p>
            <w:pPr>
              <w:pStyle w:val="16"/>
              <w:rPr>
                <w:rFonts w:hint="eastAsia" w:cs="Times New Roman"/>
              </w:rPr>
            </w:pPr>
            <w:r>
              <w:rPr>
                <w:rFonts w:hint="eastAsia" w:cs="Times New Roman"/>
              </w:rPr>
              <w:t>塔  娜</w:t>
            </w:r>
          </w:p>
        </w:tc>
        <w:tc>
          <w:tcPr>
            <w:tcW w:w="3864" w:type="dxa"/>
            <w:tcBorders>
              <w:tl2br w:val="nil"/>
              <w:tr2bl w:val="nil"/>
            </w:tcBorders>
            <w:shd w:val="clear" w:color="auto" w:fill="auto"/>
            <w:vAlign w:val="center"/>
          </w:tcPr>
          <w:p>
            <w:pPr>
              <w:pStyle w:val="16"/>
              <w:rPr>
                <w:rFonts w:hint="eastAsia" w:cs="Times New Roman"/>
              </w:rPr>
            </w:pPr>
            <w:r>
              <w:rPr>
                <w:rFonts w:hint="eastAsia" w:cs="Times New Roman"/>
              </w:rPr>
              <w:t>1700000000200088</w:t>
            </w:r>
          </w:p>
        </w:tc>
        <w:tc>
          <w:tcPr>
            <w:tcW w:w="1897" w:type="dxa"/>
            <w:tcBorders>
              <w:tl2br w:val="nil"/>
              <w:tr2bl w:val="nil"/>
            </w:tcBorders>
            <w:shd w:val="clear" w:color="auto" w:fill="auto"/>
            <w:vAlign w:val="center"/>
          </w:tcPr>
          <w:p>
            <w:pPr>
              <w:pStyle w:val="16"/>
              <w:rPr>
                <w:rFonts w:hint="eastAsia" w:cs="Times New Roman"/>
              </w:rPr>
            </w:pPr>
            <w:r>
              <w:rPr>
                <w:rFonts w:hint="eastAsia" w:cs="Times New Roman"/>
              </w:rP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6"/>
            </w:pPr>
            <w:r>
              <w:t>项目组成员</w:t>
            </w:r>
          </w:p>
        </w:tc>
        <w:tc>
          <w:tcPr>
            <w:tcW w:w="1820" w:type="dxa"/>
            <w:tcBorders>
              <w:tl2br w:val="nil"/>
              <w:tr2bl w:val="nil"/>
            </w:tcBorders>
            <w:shd w:val="clear" w:color="auto" w:fill="auto"/>
            <w:vAlign w:val="center"/>
          </w:tcPr>
          <w:p>
            <w:pPr>
              <w:pStyle w:val="16"/>
              <w:rPr>
                <w:rFonts w:hint="eastAsia" w:cs="Times New Roman"/>
              </w:rPr>
            </w:pPr>
            <w:r>
              <w:rPr>
                <w:rFonts w:hint="eastAsia" w:cs="Times New Roman"/>
              </w:rPr>
              <w:t>李春燕</w:t>
            </w:r>
          </w:p>
        </w:tc>
        <w:tc>
          <w:tcPr>
            <w:tcW w:w="3864" w:type="dxa"/>
            <w:tcBorders>
              <w:tl2br w:val="nil"/>
              <w:tr2bl w:val="nil"/>
            </w:tcBorders>
            <w:shd w:val="clear" w:color="auto" w:fill="auto"/>
            <w:vAlign w:val="center"/>
          </w:tcPr>
          <w:p>
            <w:pPr>
              <w:pStyle w:val="16"/>
              <w:rPr>
                <w:rFonts w:hint="eastAsia" w:cs="Times New Roman"/>
              </w:rPr>
            </w:pPr>
            <w:r>
              <w:rPr>
                <w:rFonts w:hint="eastAsia" w:cs="Times New Roman"/>
              </w:rPr>
              <w:t>S011011000110202000401</w:t>
            </w:r>
          </w:p>
        </w:tc>
        <w:tc>
          <w:tcPr>
            <w:tcW w:w="1897" w:type="dxa"/>
            <w:tcBorders>
              <w:tl2br w:val="nil"/>
              <w:tr2bl w:val="nil"/>
            </w:tcBorders>
            <w:shd w:val="clear" w:color="auto" w:fill="auto"/>
            <w:vAlign w:val="center"/>
          </w:tcPr>
          <w:p>
            <w:pPr>
              <w:pStyle w:val="16"/>
              <w:rPr>
                <w:rFonts w:hint="eastAsia" w:cs="Times New Roman"/>
              </w:rPr>
            </w:pPr>
            <w:r>
              <w:rPr>
                <w:rFonts w:hint="eastAsia" w:cs="Times New Roman"/>
              </w:rPr>
              <w:t>040642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rPr>
                <w:rFonts w:hint="eastAsia" w:cs="Times New Roman"/>
              </w:rPr>
            </w:pPr>
            <w:r>
              <w:rPr>
                <w:rFonts w:hint="eastAsia" w:cs="Times New Roman"/>
              </w:rPr>
              <w:t>韦根远</w:t>
            </w:r>
          </w:p>
        </w:tc>
        <w:tc>
          <w:tcPr>
            <w:tcW w:w="3864" w:type="dxa"/>
            <w:tcBorders>
              <w:tl2br w:val="nil"/>
              <w:tr2bl w:val="nil"/>
            </w:tcBorders>
            <w:shd w:val="clear" w:color="auto" w:fill="auto"/>
            <w:vAlign w:val="center"/>
          </w:tcPr>
          <w:p>
            <w:pPr>
              <w:pStyle w:val="16"/>
              <w:rPr>
                <w:rFonts w:hint="eastAsia" w:cs="Times New Roman"/>
              </w:rPr>
            </w:pPr>
            <w:r>
              <w:rPr>
                <w:rFonts w:hint="eastAsia" w:cs="Times New Roman"/>
              </w:rPr>
              <w:t>S011044000110191001083</w:t>
            </w:r>
          </w:p>
        </w:tc>
        <w:tc>
          <w:tcPr>
            <w:tcW w:w="1897" w:type="dxa"/>
            <w:tcBorders>
              <w:tl2br w:val="nil"/>
              <w:tr2bl w:val="nil"/>
            </w:tcBorders>
            <w:shd w:val="clear" w:color="auto" w:fill="auto"/>
            <w:vAlign w:val="center"/>
          </w:tcPr>
          <w:p>
            <w:pPr>
              <w:pStyle w:val="16"/>
              <w:rPr>
                <w:rFonts w:hint="eastAsia" w:cs="Times New Roman"/>
              </w:rPr>
            </w:pPr>
            <w:r>
              <w:rPr>
                <w:rFonts w:hint="eastAsia" w:cs="Times New Roman"/>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rPr>
                <w:rFonts w:hint="eastAsia" w:cs="Times New Roman"/>
              </w:rPr>
            </w:pPr>
            <w:r>
              <w:rPr>
                <w:rFonts w:hint="eastAsia" w:cs="Times New Roman"/>
                <w:lang w:val="en-US" w:eastAsia="zh-CN"/>
              </w:rPr>
              <w:t>张晋慧</w:t>
            </w:r>
          </w:p>
        </w:tc>
        <w:tc>
          <w:tcPr>
            <w:tcW w:w="3864" w:type="dxa"/>
            <w:tcBorders>
              <w:tl2br w:val="nil"/>
              <w:tr2bl w:val="nil"/>
            </w:tcBorders>
            <w:shd w:val="clear" w:color="auto" w:fill="auto"/>
            <w:vAlign w:val="center"/>
          </w:tcPr>
          <w:p>
            <w:pPr>
              <w:pStyle w:val="16"/>
              <w:rPr>
                <w:rFonts w:hint="eastAsia" w:cs="Times New Roman"/>
              </w:rPr>
            </w:pPr>
            <w:r>
              <w:rPr>
                <w:rFonts w:hint="eastAsia" w:cs="Times New Roman"/>
              </w:rPr>
              <w:t>1100000000302946</w:t>
            </w:r>
          </w:p>
        </w:tc>
        <w:tc>
          <w:tcPr>
            <w:tcW w:w="1897" w:type="dxa"/>
            <w:tcBorders>
              <w:tl2br w:val="nil"/>
              <w:tr2bl w:val="nil"/>
            </w:tcBorders>
            <w:shd w:val="clear" w:color="auto" w:fill="auto"/>
            <w:vAlign w:val="center"/>
          </w:tcPr>
          <w:p>
            <w:pPr>
              <w:pStyle w:val="16"/>
              <w:rPr>
                <w:rFonts w:hint="eastAsia" w:cs="Times New Roman"/>
              </w:rPr>
            </w:pPr>
            <w:r>
              <w:rPr>
                <w:rFonts w:hint="eastAsia" w:cs="Times New Roma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rPr>
                <w:rFonts w:hint="eastAsia" w:cs="Times New Roman"/>
              </w:rPr>
            </w:pPr>
            <w:r>
              <w:rPr>
                <w:rFonts w:hint="eastAsia" w:cs="Times New Roman"/>
                <w:lang w:val="en-US" w:eastAsia="zh-CN"/>
              </w:rPr>
              <w:t>陈武斌</w:t>
            </w:r>
          </w:p>
        </w:tc>
        <w:tc>
          <w:tcPr>
            <w:tcW w:w="3864" w:type="dxa"/>
            <w:tcBorders>
              <w:tl2br w:val="nil"/>
              <w:tr2bl w:val="nil"/>
            </w:tcBorders>
            <w:shd w:val="clear" w:color="auto" w:fill="auto"/>
            <w:vAlign w:val="center"/>
          </w:tcPr>
          <w:p>
            <w:pPr>
              <w:pStyle w:val="16"/>
              <w:rPr>
                <w:rFonts w:hint="eastAsia" w:cs="Times New Roman"/>
              </w:rPr>
            </w:pPr>
            <w:r>
              <w:rPr>
                <w:rFonts w:hint="eastAsia" w:cs="Times New Roman"/>
                <w:lang w:val="en-US" w:eastAsia="zh-CN"/>
              </w:rPr>
              <w:t>1100000000300371</w:t>
            </w:r>
          </w:p>
        </w:tc>
        <w:tc>
          <w:tcPr>
            <w:tcW w:w="1897" w:type="dxa"/>
            <w:tcBorders>
              <w:tl2br w:val="nil"/>
              <w:tr2bl w:val="nil"/>
            </w:tcBorders>
            <w:shd w:val="clear" w:color="auto" w:fill="auto"/>
            <w:vAlign w:val="center"/>
          </w:tcPr>
          <w:p>
            <w:pPr>
              <w:pStyle w:val="16"/>
              <w:rPr>
                <w:rFonts w:hint="eastAsia" w:cs="Times New Roman"/>
              </w:rPr>
            </w:pPr>
            <w:r>
              <w:rPr>
                <w:rFonts w:hint="eastAsia" w:cs="Times New Roman"/>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技术专家</w:t>
            </w:r>
          </w:p>
        </w:tc>
        <w:tc>
          <w:tcPr>
            <w:tcW w:w="7581" w:type="dxa"/>
            <w:gridSpan w:val="3"/>
            <w:tcBorders>
              <w:tl2br w:val="nil"/>
              <w:tr2bl w:val="nil"/>
            </w:tcBorders>
            <w:shd w:val="clear" w:color="auto" w:fill="auto"/>
            <w:vAlign w:val="center"/>
          </w:tcPr>
          <w:p>
            <w:pPr>
              <w:pStyle w:val="1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现场勘察人员及时间</w:t>
            </w:r>
          </w:p>
        </w:tc>
        <w:tc>
          <w:tcPr>
            <w:tcW w:w="7581" w:type="dxa"/>
            <w:gridSpan w:val="3"/>
            <w:tcBorders>
              <w:tl2br w:val="nil"/>
              <w:tr2bl w:val="nil"/>
            </w:tcBorders>
            <w:shd w:val="clear" w:color="auto" w:fill="auto"/>
            <w:vAlign w:val="center"/>
          </w:tcPr>
          <w:p>
            <w:pPr>
              <w:pStyle w:val="16"/>
              <w:rPr>
                <w:rFonts w:hint="default" w:eastAsia="宋体"/>
                <w:lang w:val="en-US" w:eastAsia="zh-CN"/>
              </w:rPr>
            </w:pPr>
            <w:r>
              <w:rPr>
                <w:rFonts w:hint="eastAsia"/>
              </w:rPr>
              <w:t>塔  娜、</w:t>
            </w:r>
            <w:r>
              <w:rPr>
                <w:rFonts w:hint="eastAsia"/>
                <w:lang w:val="en-US" w:eastAsia="zh-CN"/>
              </w:rPr>
              <w:t>李春燕</w:t>
            </w:r>
            <w:r>
              <w:rPr>
                <w:rFonts w:hint="eastAsia"/>
              </w:rPr>
              <w:t xml:space="preserve"> 202</w:t>
            </w:r>
            <w:r>
              <w:rPr>
                <w:rFonts w:hint="eastAsia"/>
                <w:lang w:val="en-US" w:eastAsia="zh-CN"/>
              </w:rPr>
              <w:t>4</w:t>
            </w:r>
            <w:r>
              <w:rPr>
                <w:rFonts w:hint="eastAsia"/>
              </w:rPr>
              <w:t>.</w:t>
            </w:r>
            <w:r>
              <w:rPr>
                <w:rFonts w:hint="eastAsia"/>
                <w:lang w:val="en-US" w:eastAsia="zh-CN"/>
              </w:rPr>
              <w:t>01</w:t>
            </w:r>
            <w:r>
              <w:rPr>
                <w:rFonts w:hint="eastAsia"/>
              </w:rPr>
              <w:t>.</w:t>
            </w:r>
            <w:r>
              <w:rPr>
                <w:rFonts w:hint="eastAsia"/>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rPr>
                <w:rFonts w:hint="eastAsia"/>
              </w:rPr>
              <w:t>现场核查的人员和时间</w:t>
            </w:r>
          </w:p>
        </w:tc>
        <w:tc>
          <w:tcPr>
            <w:tcW w:w="7581" w:type="dxa"/>
            <w:gridSpan w:val="3"/>
            <w:tcBorders>
              <w:tl2br w:val="nil"/>
              <w:tr2bl w:val="nil"/>
            </w:tcBorders>
            <w:shd w:val="clear" w:color="auto" w:fill="auto"/>
            <w:vAlign w:val="center"/>
          </w:tcPr>
          <w:p>
            <w:pPr>
              <w:pStyle w:val="1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6" w:hRule="atLeast"/>
          <w:jc w:val="center"/>
        </w:trPr>
        <w:tc>
          <w:tcPr>
            <w:tcW w:w="1773" w:type="dxa"/>
            <w:tcBorders>
              <w:tl2br w:val="nil"/>
              <w:tr2bl w:val="nil"/>
            </w:tcBorders>
            <w:shd w:val="clear" w:color="auto" w:fill="auto"/>
            <w:vAlign w:val="center"/>
          </w:tcPr>
          <w:p>
            <w:pPr>
              <w:pStyle w:val="16"/>
            </w:pPr>
            <w:r>
              <w:t>项目简介</w:t>
            </w:r>
          </w:p>
        </w:tc>
        <w:tc>
          <w:tcPr>
            <w:tcW w:w="7581" w:type="dxa"/>
            <w:gridSpan w:val="3"/>
            <w:tcBorders>
              <w:tl2br w:val="nil"/>
              <w:tr2bl w:val="nil"/>
            </w:tcBorders>
            <w:shd w:val="clear" w:color="auto" w:fill="auto"/>
          </w:tcPr>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bookmarkStart w:id="0" w:name="_Toc8976"/>
            <w:r>
              <w:rPr>
                <w:rFonts w:hint="eastAsia"/>
                <w:sz w:val="24"/>
                <w:szCs w:val="24"/>
              </w:rPr>
              <w:t>1企业简介</w:t>
            </w:r>
            <w:bookmarkEnd w:id="0"/>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bookmarkStart w:id="1" w:name="_Toc4989"/>
            <w:r>
              <w:rPr>
                <w:rFonts w:hint="eastAsia"/>
                <w:sz w:val="24"/>
                <w:szCs w:val="24"/>
              </w:rPr>
              <w:t>瓜州万华金昱能源有限公司成立</w:t>
            </w:r>
            <w:r>
              <w:rPr>
                <w:rFonts w:hint="eastAsia"/>
                <w:sz w:val="24"/>
                <w:szCs w:val="24"/>
                <w:lang w:val="en-US" w:eastAsia="zh-CN"/>
              </w:rPr>
              <w:t>于</w:t>
            </w:r>
            <w:r>
              <w:rPr>
                <w:rFonts w:hint="eastAsia"/>
                <w:sz w:val="24"/>
                <w:szCs w:val="24"/>
              </w:rPr>
              <w:t>2013年05月31日</w:t>
            </w:r>
            <w:r>
              <w:rPr>
                <w:rFonts w:hint="eastAsia"/>
                <w:sz w:val="24"/>
                <w:szCs w:val="24"/>
                <w:lang w:eastAsia="zh-CN"/>
              </w:rPr>
              <w:t>，</w:t>
            </w:r>
            <w:r>
              <w:rPr>
                <w:rFonts w:hint="eastAsia"/>
                <w:sz w:val="24"/>
                <w:szCs w:val="24"/>
              </w:rPr>
              <w:t>法定代表人</w:t>
            </w:r>
            <w:bookmarkStart w:id="2" w:name="_Hlk48211960"/>
            <w:r>
              <w:rPr>
                <w:rFonts w:hint="eastAsia"/>
                <w:sz w:val="24"/>
                <w:szCs w:val="24"/>
              </w:rPr>
              <w:t>王国武</w:t>
            </w:r>
            <w:bookmarkEnd w:id="2"/>
            <w:r>
              <w:rPr>
                <w:rFonts w:hint="eastAsia"/>
                <w:sz w:val="24"/>
                <w:szCs w:val="24"/>
                <w:lang w:eastAsia="zh-CN"/>
              </w:rPr>
              <w:t>，</w:t>
            </w:r>
            <w:r>
              <w:rPr>
                <w:rFonts w:hint="eastAsia"/>
                <w:sz w:val="24"/>
                <w:szCs w:val="24"/>
                <w:lang w:val="en-US" w:eastAsia="zh-CN"/>
              </w:rPr>
              <w:t>公司类型为</w:t>
            </w:r>
            <w:r>
              <w:rPr>
                <w:rFonts w:hint="eastAsia"/>
                <w:sz w:val="24"/>
                <w:szCs w:val="24"/>
              </w:rPr>
              <w:t>有限责任公司（自然人投资或控股）</w:t>
            </w:r>
            <w:r>
              <w:rPr>
                <w:rFonts w:hint="eastAsia"/>
                <w:sz w:val="24"/>
                <w:szCs w:val="24"/>
                <w:lang w:eastAsia="zh-CN"/>
              </w:rPr>
              <w:t>，</w:t>
            </w:r>
            <w:r>
              <w:rPr>
                <w:rFonts w:hint="eastAsia"/>
                <w:sz w:val="24"/>
                <w:szCs w:val="24"/>
              </w:rPr>
              <w:t>住所：甘肃省酒泉市瓜州县渊泉镇瓜州中路西侧（原三联公司综合楼9号）</w:t>
            </w:r>
            <w:r>
              <w:rPr>
                <w:rFonts w:hint="eastAsia"/>
                <w:sz w:val="24"/>
                <w:szCs w:val="24"/>
                <w:lang w:eastAsia="zh-CN"/>
              </w:rPr>
              <w:t>，</w:t>
            </w:r>
            <w:r>
              <w:rPr>
                <w:rFonts w:hint="eastAsia"/>
                <w:sz w:val="24"/>
                <w:szCs w:val="24"/>
              </w:rPr>
              <w:t>经营范围</w:t>
            </w:r>
            <w:r>
              <w:rPr>
                <w:rFonts w:hint="eastAsia"/>
                <w:sz w:val="24"/>
                <w:szCs w:val="24"/>
                <w:lang w:val="en-US" w:eastAsia="zh-CN"/>
              </w:rPr>
              <w:t>有</w:t>
            </w:r>
            <w:r>
              <w:rPr>
                <w:rFonts w:hint="eastAsia"/>
                <w:sz w:val="24"/>
                <w:szCs w:val="24"/>
              </w:rPr>
              <w:t>光伏能源开发、润滑剂、日用百货、汽车配件零售（不含国家许可事项）。</w:t>
            </w:r>
          </w:p>
          <w:p>
            <w:pPr>
              <w:pStyle w:val="16"/>
              <w:keepNext w:val="0"/>
              <w:keepLines w:val="0"/>
              <w:pageBreakBefore w:val="0"/>
              <w:widowControl w:val="0"/>
              <w:kinsoku/>
              <w:wordWrap/>
              <w:overflowPunct/>
              <w:topLinePunct w:val="0"/>
              <w:autoSpaceDE/>
              <w:autoSpaceDN/>
              <w:bidi w:val="0"/>
              <w:spacing w:line="240" w:lineRule="auto"/>
              <w:jc w:val="both"/>
              <w:rPr>
                <w:rFonts w:hint="eastAsia"/>
                <w:sz w:val="24"/>
                <w:szCs w:val="24"/>
              </w:rPr>
            </w:pPr>
            <w:r>
              <w:rPr>
                <w:rFonts w:hint="eastAsia"/>
                <w:sz w:val="24"/>
                <w:szCs w:val="24"/>
              </w:rPr>
              <w:t>2项目简介</w:t>
            </w:r>
            <w:bookmarkEnd w:id="1"/>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项目名称：瓜州万华金昱能源有限公司瓜州县创鑫加油站建设项目。</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建设性质：新建。</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建设地点：瓜州县北大桥工业园区瓜敦铁路北侧、312国道东侧。</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b w:val="0"/>
                <w:bCs w:val="0"/>
                <w:sz w:val="24"/>
                <w:szCs w:val="24"/>
              </w:rPr>
            </w:pPr>
            <w:r>
              <w:rPr>
                <w:rFonts w:hint="eastAsia"/>
                <w:sz w:val="24"/>
                <w:szCs w:val="24"/>
              </w:rPr>
              <w:t>建设用地面积：8116.71m</w:t>
            </w:r>
            <w:r>
              <w:rPr>
                <w:rFonts w:hint="eastAsia"/>
                <w:sz w:val="24"/>
                <w:szCs w:val="24"/>
                <w:vertAlign w:val="superscript"/>
              </w:rPr>
              <w:t>2</w:t>
            </w:r>
            <w:r>
              <w:rPr>
                <w:rFonts w:hint="eastAsia"/>
                <w:sz w:val="24"/>
                <w:szCs w:val="24"/>
              </w:rPr>
              <w:t>。</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lang w:eastAsia="zh-CN"/>
              </w:rPr>
            </w:pPr>
            <w:r>
              <w:rPr>
                <w:rFonts w:hint="eastAsia"/>
                <w:sz w:val="24"/>
                <w:szCs w:val="24"/>
                <w:lang w:eastAsia="zh-CN"/>
              </w:rPr>
              <w:t>设计单位：陕西思盟节能工程科技有限责任公司。资质等级：工程设计专业资质化工石化医药行业化学原料药乙级；工程设计专业资质化工石化医药行业中成药乙级工程设计专业资质化工石化医药行业石油及化工产品储运乙级。证书编号：A261012253。</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施工单位：四川满宏荣建筑工程有限公司。资质类别及等级：建筑工程施工总承包叁级；公路工程施工总承包叁级；水利水电工程施工总承包叁级；电力工程施工总承包叁级；石油化工工程施工总承包叁级；市政公用工程施工总承包叁级；机电工程施工总承包参级；地基基础工程专业承包参级；起重设备安装工程专业承包叁级；桥梁工程专业承包叁级；隧道工程专业承包叁级；钢结构工程专业承包叁级；模板脚手架专业承包不分等级；建筑机电安装工程专业承包叁级；公路路面工程专业承包叁级；公路路基工程专业承包叁级；输变电工程专业承包参级；环保工程专业承包叁级。证书编号：D351079725。</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监理单位：四川同创建设工程管理有限公司。资质类别及等级：工程监理综合资质。证书编号：E151006605。</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安全条件审查情况：该项目安全评价报告由内蒙古华辰工程技术有限公司编制，通过专家组评审并于2023年8月26日取得了《危险化学品建设项目安全条件审查意见书》（酒危化项目安条审字【2023】21号）。</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sz w:val="24"/>
                <w:szCs w:val="24"/>
              </w:rPr>
            </w:pPr>
            <w:r>
              <w:rPr>
                <w:rFonts w:hint="eastAsia"/>
                <w:sz w:val="24"/>
                <w:szCs w:val="24"/>
              </w:rPr>
              <w:t>安全设施设计审查情况：该项目安全设施设计专篇由陕西思盟节能工程科技有限责任公司编制，并于2023年10月27日取得了《危险化学品建设项目安全设施设计审查意见书》（酒市应急危化项目安设审字【2023】18号）。</w:t>
            </w: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eastAsia="宋体"/>
                <w:sz w:val="24"/>
                <w:szCs w:val="24"/>
                <w:lang w:eastAsia="zh-CN"/>
              </w:rPr>
            </w:pPr>
            <w:r>
              <w:rPr>
                <w:rFonts w:hint="eastAsia"/>
                <w:sz w:val="24"/>
                <w:szCs w:val="24"/>
              </w:rPr>
              <w:t>土地使用情况：于2022年11月15日</w:t>
            </w:r>
            <w:r>
              <w:rPr>
                <w:rFonts w:hint="eastAsia"/>
                <w:sz w:val="24"/>
                <w:szCs w:val="24"/>
                <w:lang w:val="zh-CN"/>
              </w:rPr>
              <w:t>取得了由</w:t>
            </w:r>
            <w:r>
              <w:rPr>
                <w:rFonts w:hint="eastAsia"/>
                <w:sz w:val="24"/>
                <w:szCs w:val="24"/>
              </w:rPr>
              <w:t>瓜州县自然资源局</w:t>
            </w:r>
            <w:r>
              <w:rPr>
                <w:rFonts w:hint="eastAsia"/>
                <w:sz w:val="24"/>
                <w:szCs w:val="24"/>
                <w:lang w:val="zh-CN"/>
              </w:rPr>
              <w:t>核发的</w:t>
            </w:r>
            <w:r>
              <w:rPr>
                <w:rFonts w:hint="eastAsia"/>
                <w:sz w:val="24"/>
                <w:szCs w:val="24"/>
              </w:rPr>
              <w:t>《建设用地规划许可证》（地字第620922202200053号），并且取得了</w:t>
            </w:r>
            <w:r>
              <w:rPr>
                <w:rFonts w:hint="eastAsia"/>
                <w:sz w:val="24"/>
                <w:szCs w:val="24"/>
                <w:lang w:val="zh-CN"/>
              </w:rPr>
              <w:t>由</w:t>
            </w:r>
            <w:r>
              <w:rPr>
                <w:rFonts w:hint="eastAsia"/>
                <w:sz w:val="24"/>
                <w:szCs w:val="24"/>
              </w:rPr>
              <w:t>瓜州县自然资源局</w:t>
            </w:r>
            <w:r>
              <w:rPr>
                <w:rFonts w:hint="eastAsia"/>
                <w:sz w:val="24"/>
                <w:szCs w:val="24"/>
                <w:lang w:val="zh-CN"/>
              </w:rPr>
              <w:t>核发的</w:t>
            </w:r>
            <w:r>
              <w:rPr>
                <w:rFonts w:hint="eastAsia"/>
                <w:sz w:val="24"/>
                <w:szCs w:val="24"/>
              </w:rPr>
              <w:t>《不动产权证》（甘（2018）瓜州县不动产权第0008800号）</w:t>
            </w:r>
            <w:r>
              <w:rPr>
                <w:rFonts w:hint="eastAsia"/>
                <w:sz w:val="24"/>
                <w:szCs w:val="24"/>
                <w:lang w:eastAsia="zh-CN"/>
              </w:rPr>
              <w:t>。</w:t>
            </w:r>
          </w:p>
          <w:p>
            <w:pPr>
              <w:keepNext w:val="0"/>
              <w:keepLines w:val="0"/>
              <w:pageBreakBefore w:val="0"/>
              <w:widowControl w:val="0"/>
              <w:kinsoku/>
              <w:wordWrap/>
              <w:overflowPunct/>
              <w:topLinePunct w:val="0"/>
              <w:autoSpaceDE/>
              <w:autoSpaceDN/>
              <w:bidi w:val="0"/>
              <w:spacing w:line="240" w:lineRule="auto"/>
              <w:jc w:val="both"/>
              <w:rPr>
                <w:rFonts w:hint="eastAsia"/>
                <w:sz w:val="24"/>
                <w:szCs w:val="24"/>
              </w:rPr>
            </w:pPr>
          </w:p>
          <w:p>
            <w:pPr>
              <w:keepNext w:val="0"/>
              <w:keepLines w:val="0"/>
              <w:pageBreakBefore w:val="0"/>
              <w:widowControl w:val="0"/>
              <w:kinsoku/>
              <w:wordWrap/>
              <w:overflowPunct/>
              <w:topLinePunct w:val="0"/>
              <w:autoSpaceDE/>
              <w:autoSpaceDN/>
              <w:bidi w:val="0"/>
              <w:spacing w:line="240" w:lineRule="auto"/>
              <w:jc w:val="both"/>
              <w:rPr>
                <w:rFonts w:hint="eastAsia"/>
                <w:sz w:val="24"/>
                <w:szCs w:val="24"/>
              </w:rPr>
            </w:pPr>
          </w:p>
          <w:p>
            <w:pPr>
              <w:pStyle w:val="16"/>
              <w:keepNext w:val="0"/>
              <w:keepLines w:val="0"/>
              <w:pageBreakBefore w:val="0"/>
              <w:widowControl w:val="0"/>
              <w:kinsoku/>
              <w:wordWrap/>
              <w:overflowPunct/>
              <w:topLinePunct w:val="0"/>
              <w:autoSpaceDE/>
              <w:autoSpaceDN/>
              <w:bidi w:val="0"/>
              <w:spacing w:line="240" w:lineRule="auto"/>
              <w:ind w:firstLine="480" w:firstLineChars="200"/>
              <w:jc w:val="both"/>
              <w:rPr>
                <w:rFonts w:hint="eastAsia"/>
                <w:color w:val="000000"/>
                <w:sz w:val="24"/>
                <w:szCs w:val="24"/>
              </w:rPr>
            </w:pPr>
            <w:r>
              <w:rPr>
                <w:rFonts w:hint="eastAsia"/>
                <w:sz w:val="24"/>
                <w:szCs w:val="24"/>
              </w:rPr>
              <w:t>评价结论</w:t>
            </w:r>
            <w:r>
              <w:rPr>
                <w:rFonts w:hint="eastAsia"/>
                <w:color w:val="000000"/>
                <w:sz w:val="24"/>
                <w:szCs w:val="24"/>
              </w:rPr>
              <w:t>：</w:t>
            </w:r>
            <w:bookmarkStart w:id="3" w:name="_Toc324851506"/>
            <w:r>
              <w:rPr>
                <w:rFonts w:hint="eastAsia"/>
                <w:color w:val="000000"/>
                <w:sz w:val="24"/>
                <w:szCs w:val="24"/>
              </w:rPr>
              <w:t>本项目设计、施工及试运行中，严格执行国家现行法律、法规、规章及标准、规范的要求，站长为安全生产第一责任人，按照法律规定配备有专职安全员，安全规章制度、操作规程、岗位责任制已制定并有效执行，建设项目安全评价及安全设施设计中提出的安全技术措施在施工、试运行中得到了有效落实，在建设项目试运行期间，其工艺设备及安全设施运行平稳，各项安全措施正常有效，对报告中提出的问题和隐患，该建设单位也给予了高度重视，并对提出的问题和隐患进行了整改。经整改落实后，可认为本项目的安全设施及经营条件符合有关安全的规定。</w:t>
            </w:r>
          </w:p>
          <w:p>
            <w:pPr>
              <w:keepNext w:val="0"/>
              <w:keepLines w:val="0"/>
              <w:pageBreakBefore w:val="0"/>
              <w:widowControl w:val="0"/>
              <w:kinsoku/>
              <w:wordWrap/>
              <w:overflowPunct/>
              <w:topLinePunct w:val="0"/>
              <w:autoSpaceDE/>
              <w:autoSpaceDN/>
              <w:bidi w:val="0"/>
              <w:snapToGrid w:val="0"/>
              <w:spacing w:line="240" w:lineRule="auto"/>
              <w:ind w:firstLine="480" w:firstLineChars="200"/>
              <w:jc w:val="both"/>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总体评价认为：</w:t>
            </w:r>
            <w:bookmarkEnd w:id="3"/>
            <w:r>
              <w:rPr>
                <w:rFonts w:hint="eastAsia" w:ascii="宋体" w:hAnsi="宋体" w:eastAsia="宋体" w:cs="Times New Roman"/>
                <w:kern w:val="0"/>
                <w:sz w:val="24"/>
                <w:szCs w:val="24"/>
                <w:lang w:val="en-US" w:eastAsia="zh-CN" w:bidi="ar-SA"/>
              </w:rPr>
              <w:t>瓜州万华金昱能源有限公司瓜州县创鑫加油站建设项目各工艺安全设施、装置运行正常，各种手续齐全，具备安全设施竣工验收条件。</w:t>
            </w:r>
          </w:p>
          <w:p>
            <w:pPr>
              <w:pStyle w:val="1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现场照片</w:t>
            </w:r>
          </w:p>
        </w:tc>
        <w:tc>
          <w:tcPr>
            <w:tcW w:w="7581" w:type="dxa"/>
            <w:gridSpan w:val="3"/>
            <w:tcBorders>
              <w:tl2br w:val="nil"/>
              <w:tr2bl w:val="nil"/>
            </w:tcBorders>
            <w:shd w:val="clear" w:color="auto" w:fill="auto"/>
          </w:tcPr>
          <w:p>
            <w:r>
              <w:drawing>
                <wp:inline distT="0" distB="0" distL="114300" distR="114300">
                  <wp:extent cx="4754880" cy="3567430"/>
                  <wp:effectExtent l="0" t="0" r="7620" b="13970"/>
                  <wp:docPr id="9" name="图片 9" descr="9ca03188c520d997aa5871927e3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ca03188c520d997aa5871927e3fc6f"/>
                          <pic:cNvPicPr>
                            <a:picLocks noChangeAspect="1"/>
                          </pic:cNvPicPr>
                        </pic:nvPicPr>
                        <pic:blipFill>
                          <a:blip r:embed="rId5"/>
                          <a:stretch>
                            <a:fillRect/>
                          </a:stretch>
                        </pic:blipFill>
                        <pic:spPr>
                          <a:xfrm>
                            <a:off x="0" y="0"/>
                            <a:ext cx="4754880" cy="3567430"/>
                          </a:xfrm>
                          <a:prstGeom prst="rect">
                            <a:avLst/>
                          </a:prstGeom>
                        </pic:spPr>
                      </pic:pic>
                    </a:graphicData>
                  </a:graphic>
                </wp:inline>
              </w:drawing>
            </w:r>
            <w:r>
              <w:rPr>
                <w:rFonts w:hint="eastAsia" w:ascii="宋体" w:hAnsi="宋体" w:eastAsia="宋体"/>
                <w:sz w:val="28"/>
                <w:szCs w:val="28"/>
                <w:lang w:eastAsia="zh-CN"/>
              </w:rPr>
              <w:drawing>
                <wp:inline distT="0" distB="0" distL="114300" distR="114300">
                  <wp:extent cx="3101340" cy="4672965"/>
                  <wp:effectExtent l="0" t="0" r="13335" b="3810"/>
                  <wp:docPr id="7" name="图片 7" descr="c3c44d441962c5b1a5993bfa170b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3c44d441962c5b1a5993bfa170b5e9"/>
                          <pic:cNvPicPr>
                            <a:picLocks noChangeAspect="1"/>
                          </pic:cNvPicPr>
                        </pic:nvPicPr>
                        <pic:blipFill>
                          <a:blip r:embed="rId6"/>
                          <a:srcRect r="35982"/>
                          <a:stretch>
                            <a:fillRect/>
                          </a:stretch>
                        </pic:blipFill>
                        <pic:spPr>
                          <a:xfrm rot="5400000">
                            <a:off x="0" y="0"/>
                            <a:ext cx="3101340" cy="4672965"/>
                          </a:xfrm>
                          <a:prstGeom prst="rect">
                            <a:avLst/>
                          </a:prstGeom>
                        </pic:spPr>
                      </pic:pic>
                    </a:graphicData>
                  </a:graphic>
                </wp:inline>
              </w:drawing>
            </w:r>
          </w:p>
          <w:p>
            <w:pPr>
              <w:pStyle w:val="4"/>
              <w:ind w:firstLine="0"/>
              <w:jc w:val="center"/>
            </w:pPr>
            <w:r>
              <w:rPr>
                <w:rFonts w:hint="eastAsia" w:ascii="宋体" w:hAnsi="宋体" w:eastAsia="宋体"/>
                <w:sz w:val="28"/>
                <w:szCs w:val="28"/>
                <w:lang w:eastAsia="zh-CN"/>
              </w:rPr>
              <w:drawing>
                <wp:inline distT="0" distB="0" distL="114300" distR="114300">
                  <wp:extent cx="4519295" cy="2867660"/>
                  <wp:effectExtent l="0" t="0" r="14605" b="8890"/>
                  <wp:docPr id="3" name="图片 3" descr="efc66675aa27fd7c5a4d6ce3a09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fc66675aa27fd7c5a4d6ce3a098568"/>
                          <pic:cNvPicPr>
                            <a:picLocks noChangeAspect="1"/>
                          </pic:cNvPicPr>
                        </pic:nvPicPr>
                        <pic:blipFill>
                          <a:blip r:embed="rId7"/>
                          <a:srcRect b="15397"/>
                          <a:stretch>
                            <a:fillRect/>
                          </a:stretch>
                        </pic:blipFill>
                        <pic:spPr>
                          <a:xfrm>
                            <a:off x="0" y="0"/>
                            <a:ext cx="4519295" cy="2867660"/>
                          </a:xfrm>
                          <a:prstGeom prst="rect">
                            <a:avLst/>
                          </a:prstGeom>
                        </pic:spPr>
                      </pic:pic>
                    </a:graphicData>
                  </a:graphic>
                </wp:inline>
              </w:drawing>
            </w:r>
          </w:p>
          <w:p>
            <w:pPr>
              <w:pStyle w:val="16"/>
            </w:pPr>
          </w:p>
          <w:p>
            <w:pPr>
              <w:pStyle w:val="16"/>
            </w:pPr>
            <w:r>
              <w:rPr>
                <w:rFonts w:hint="eastAsia" w:ascii="宋体" w:hAnsi="宋体" w:eastAsia="宋体"/>
                <w:sz w:val="28"/>
                <w:szCs w:val="28"/>
                <w:lang w:eastAsia="zh-CN"/>
              </w:rPr>
              <w:drawing>
                <wp:inline distT="0" distB="0" distL="114300" distR="114300">
                  <wp:extent cx="2534285" cy="4603750"/>
                  <wp:effectExtent l="0" t="0" r="6350" b="18415"/>
                  <wp:docPr id="4" name="图片 4" descr="03930eeae94ca5ead98a11f0be15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930eeae94ca5ead98a11f0be15e95"/>
                          <pic:cNvPicPr>
                            <a:picLocks noChangeAspect="1"/>
                          </pic:cNvPicPr>
                        </pic:nvPicPr>
                        <pic:blipFill>
                          <a:blip r:embed="rId8"/>
                          <a:srcRect r="50605"/>
                          <a:stretch>
                            <a:fillRect/>
                          </a:stretch>
                        </pic:blipFill>
                        <pic:spPr>
                          <a:xfrm rot="5400000">
                            <a:off x="0" y="0"/>
                            <a:ext cx="2534285" cy="4603750"/>
                          </a:xfrm>
                          <a:prstGeom prst="rect">
                            <a:avLst/>
                          </a:prstGeom>
                        </pic:spPr>
                      </pic:pic>
                    </a:graphicData>
                  </a:graphic>
                </wp:inline>
              </w:drawing>
            </w:r>
          </w:p>
          <w:p>
            <w:pPr>
              <w:pStyle w:val="16"/>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被评价单位信息反馈情况</w:t>
            </w:r>
          </w:p>
        </w:tc>
        <w:tc>
          <w:tcPr>
            <w:tcW w:w="7581" w:type="dxa"/>
            <w:gridSpan w:val="3"/>
            <w:tcBorders>
              <w:tl2br w:val="nil"/>
              <w:tr2bl w:val="nil"/>
            </w:tcBorders>
            <w:shd w:val="clear" w:color="auto" w:fill="auto"/>
            <w:vAlign w:val="center"/>
          </w:tcPr>
          <w:p>
            <w:pPr>
              <w:pStyle w:val="16"/>
            </w:pPr>
            <w:r>
              <w:t>满意</w:t>
            </w:r>
          </w:p>
        </w:tc>
      </w:tr>
    </w:tbl>
    <w:p>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项目名称</w:t>
            </w:r>
          </w:p>
        </w:tc>
        <w:tc>
          <w:tcPr>
            <w:tcW w:w="7581" w:type="dxa"/>
            <w:gridSpan w:val="3"/>
            <w:tcBorders>
              <w:tl2br w:val="nil"/>
              <w:tr2bl w:val="nil"/>
            </w:tcBorders>
            <w:shd w:val="clear" w:color="auto" w:fill="auto"/>
            <w:vAlign w:val="center"/>
          </w:tcPr>
          <w:p>
            <w:pPr>
              <w:pStyle w:val="16"/>
            </w:pPr>
            <w:r>
              <w:rPr>
                <w:rFonts w:hint="eastAsia"/>
              </w:rPr>
              <w:t>南大光电（乌兰察布）有限公司三氟化氮B1后处理技术改造项目设立安全评价报告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完成时间</w:t>
            </w:r>
          </w:p>
        </w:tc>
        <w:tc>
          <w:tcPr>
            <w:tcW w:w="7581" w:type="dxa"/>
            <w:gridSpan w:val="3"/>
            <w:tcBorders>
              <w:tl2br w:val="nil"/>
              <w:tr2bl w:val="nil"/>
            </w:tcBorders>
            <w:shd w:val="clear" w:color="auto" w:fill="auto"/>
            <w:vAlign w:val="center"/>
          </w:tcPr>
          <w:p>
            <w:pPr>
              <w:pStyle w:val="16"/>
            </w:pPr>
            <w:r>
              <w:rPr>
                <w:rFonts w:hint="eastAsia"/>
              </w:rPr>
              <w:t>2024.3.26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pPr>
              <w:pStyle w:val="16"/>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73" w:type="dxa"/>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pPr>
            <w:r>
              <w:t>姓名</w:t>
            </w:r>
          </w:p>
        </w:tc>
        <w:tc>
          <w:tcPr>
            <w:tcW w:w="3864" w:type="dxa"/>
            <w:tcBorders>
              <w:tl2br w:val="nil"/>
              <w:tr2bl w:val="nil"/>
            </w:tcBorders>
            <w:shd w:val="clear" w:color="auto" w:fill="auto"/>
            <w:vAlign w:val="center"/>
          </w:tcPr>
          <w:p>
            <w:pPr>
              <w:pStyle w:val="16"/>
            </w:pPr>
            <w:r>
              <w:t>资格证书号</w:t>
            </w:r>
          </w:p>
        </w:tc>
        <w:tc>
          <w:tcPr>
            <w:tcW w:w="1897" w:type="dxa"/>
            <w:tcBorders>
              <w:tl2br w:val="nil"/>
              <w:tr2bl w:val="nil"/>
            </w:tcBorders>
            <w:shd w:val="clear" w:color="auto" w:fill="auto"/>
            <w:vAlign w:val="center"/>
          </w:tcPr>
          <w:p>
            <w:pPr>
              <w:pStyle w:val="16"/>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项目负责人</w:t>
            </w:r>
          </w:p>
        </w:tc>
        <w:tc>
          <w:tcPr>
            <w:tcW w:w="1820" w:type="dxa"/>
            <w:tcBorders>
              <w:tl2br w:val="nil"/>
              <w:tr2bl w:val="nil"/>
            </w:tcBorders>
            <w:shd w:val="clear" w:color="auto" w:fill="auto"/>
            <w:vAlign w:val="center"/>
          </w:tcPr>
          <w:p>
            <w:pPr>
              <w:pStyle w:val="16"/>
            </w:pPr>
            <w:r>
              <w:rPr>
                <w:rFonts w:hint="eastAsia"/>
              </w:rPr>
              <w:t>塔娜</w:t>
            </w:r>
          </w:p>
        </w:tc>
        <w:tc>
          <w:tcPr>
            <w:tcW w:w="3864" w:type="dxa"/>
            <w:tcBorders>
              <w:tl2br w:val="nil"/>
              <w:tr2bl w:val="nil"/>
            </w:tcBorders>
            <w:shd w:val="clear" w:color="auto" w:fill="auto"/>
            <w:vAlign w:val="center"/>
          </w:tcPr>
          <w:p>
            <w:pPr>
              <w:pStyle w:val="16"/>
            </w:pPr>
            <w:r>
              <w:t>1700000000200088</w:t>
            </w:r>
          </w:p>
        </w:tc>
        <w:tc>
          <w:tcPr>
            <w:tcW w:w="1897" w:type="dxa"/>
            <w:tcBorders>
              <w:tl2br w:val="nil"/>
              <w:tr2bl w:val="nil"/>
            </w:tcBorders>
            <w:shd w:val="clear" w:color="auto" w:fill="auto"/>
            <w:vAlign w:val="center"/>
          </w:tcPr>
          <w:p>
            <w:pPr>
              <w:pStyle w:val="16"/>
            </w:pPr>
            <w: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16"/>
            </w:pPr>
            <w:r>
              <w:t>项目组成员</w:t>
            </w:r>
          </w:p>
        </w:tc>
        <w:tc>
          <w:tcPr>
            <w:tcW w:w="1820" w:type="dxa"/>
            <w:tcBorders>
              <w:tl2br w:val="nil"/>
              <w:tr2bl w:val="nil"/>
            </w:tcBorders>
            <w:shd w:val="clear" w:color="auto" w:fill="auto"/>
            <w:vAlign w:val="center"/>
          </w:tcPr>
          <w:p>
            <w:pPr>
              <w:pStyle w:val="16"/>
            </w:pPr>
            <w:r>
              <w:rPr>
                <w:rFonts w:hint="eastAsia"/>
              </w:rPr>
              <w:t>李春燕</w:t>
            </w:r>
          </w:p>
        </w:tc>
        <w:tc>
          <w:tcPr>
            <w:tcW w:w="3864" w:type="dxa"/>
            <w:tcBorders>
              <w:tl2br w:val="nil"/>
              <w:tr2bl w:val="nil"/>
            </w:tcBorders>
            <w:shd w:val="clear" w:color="auto" w:fill="auto"/>
            <w:vAlign w:val="center"/>
          </w:tcPr>
          <w:p>
            <w:pPr>
              <w:pStyle w:val="16"/>
            </w:pPr>
            <w:r>
              <w:t>S011011000110202000401</w:t>
            </w:r>
          </w:p>
        </w:tc>
        <w:tc>
          <w:tcPr>
            <w:tcW w:w="1897" w:type="dxa"/>
            <w:tcBorders>
              <w:tl2br w:val="nil"/>
              <w:tr2bl w:val="nil"/>
            </w:tcBorders>
            <w:shd w:val="clear" w:color="auto" w:fill="auto"/>
            <w:vAlign w:val="center"/>
          </w:tcPr>
          <w:p>
            <w:pPr>
              <w:pStyle w:val="16"/>
            </w:pPr>
            <w:r>
              <w:t>040642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pPr>
            <w:r>
              <w:rPr>
                <w:rFonts w:hint="eastAsia"/>
              </w:rPr>
              <w:t>韦根远</w:t>
            </w:r>
          </w:p>
        </w:tc>
        <w:tc>
          <w:tcPr>
            <w:tcW w:w="3864" w:type="dxa"/>
            <w:tcBorders>
              <w:tl2br w:val="nil"/>
              <w:tr2bl w:val="nil"/>
            </w:tcBorders>
            <w:shd w:val="clear" w:color="auto" w:fill="auto"/>
            <w:vAlign w:val="center"/>
          </w:tcPr>
          <w:p>
            <w:pPr>
              <w:pStyle w:val="16"/>
            </w:pPr>
            <w:r>
              <w:rPr>
                <w:rFonts w:hint="eastAsia"/>
              </w:rPr>
              <w:t>S011044000110191001083</w:t>
            </w:r>
          </w:p>
        </w:tc>
        <w:tc>
          <w:tcPr>
            <w:tcW w:w="1897" w:type="dxa"/>
            <w:tcBorders>
              <w:tl2br w:val="nil"/>
              <w:tr2bl w:val="nil"/>
            </w:tcBorders>
            <w:shd w:val="clear" w:color="auto" w:fill="auto"/>
            <w:vAlign w:val="center"/>
          </w:tcPr>
          <w:p>
            <w:pPr>
              <w:pStyle w:val="16"/>
            </w:pPr>
            <w:r>
              <w:rPr>
                <w:rFonts w:hint="eastAsi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pPr>
            <w:r>
              <w:rPr>
                <w:rFonts w:hint="eastAsia"/>
              </w:rPr>
              <w:t>张晋慧</w:t>
            </w:r>
          </w:p>
        </w:tc>
        <w:tc>
          <w:tcPr>
            <w:tcW w:w="3864" w:type="dxa"/>
            <w:tcBorders>
              <w:tl2br w:val="nil"/>
              <w:tr2bl w:val="nil"/>
            </w:tcBorders>
            <w:shd w:val="clear" w:color="auto" w:fill="auto"/>
            <w:vAlign w:val="center"/>
          </w:tcPr>
          <w:p>
            <w:pPr>
              <w:pStyle w:val="16"/>
            </w:pPr>
            <w:r>
              <w:t>1100000000302946</w:t>
            </w:r>
          </w:p>
        </w:tc>
        <w:tc>
          <w:tcPr>
            <w:tcW w:w="1897" w:type="dxa"/>
            <w:tcBorders>
              <w:tl2br w:val="nil"/>
              <w:tr2bl w:val="nil"/>
            </w:tcBorders>
            <w:shd w:val="clear" w:color="auto" w:fill="auto"/>
            <w:vAlign w:val="center"/>
          </w:tcPr>
          <w:p>
            <w:pPr>
              <w:pStyle w:val="16"/>
            </w:pPr>
            <w: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pPr>
            <w:r>
              <w:rPr>
                <w:rFonts w:hint="eastAsia"/>
              </w:rPr>
              <w:t>陈武斌</w:t>
            </w:r>
          </w:p>
        </w:tc>
        <w:tc>
          <w:tcPr>
            <w:tcW w:w="3864" w:type="dxa"/>
            <w:tcBorders>
              <w:tl2br w:val="nil"/>
              <w:tr2bl w:val="nil"/>
            </w:tcBorders>
            <w:shd w:val="clear" w:color="auto" w:fill="auto"/>
            <w:vAlign w:val="center"/>
          </w:tcPr>
          <w:p>
            <w:pPr>
              <w:pStyle w:val="16"/>
            </w:pPr>
            <w:r>
              <w:rPr>
                <w:rFonts w:hint="eastAsia"/>
              </w:rPr>
              <w:t>1100000000300371</w:t>
            </w:r>
          </w:p>
        </w:tc>
        <w:tc>
          <w:tcPr>
            <w:tcW w:w="1897" w:type="dxa"/>
            <w:tcBorders>
              <w:tl2br w:val="nil"/>
              <w:tr2bl w:val="nil"/>
            </w:tcBorders>
            <w:shd w:val="clear" w:color="auto" w:fill="auto"/>
            <w:vAlign w:val="center"/>
          </w:tcPr>
          <w:p>
            <w:pPr>
              <w:pStyle w:val="16"/>
            </w:pPr>
            <w:r>
              <w:rPr>
                <w:rFonts w:hint="eastAsia"/>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技术专家</w:t>
            </w:r>
          </w:p>
        </w:tc>
        <w:tc>
          <w:tcPr>
            <w:tcW w:w="7581" w:type="dxa"/>
            <w:gridSpan w:val="3"/>
            <w:tcBorders>
              <w:tl2br w:val="nil"/>
              <w:tr2bl w:val="nil"/>
            </w:tcBorders>
            <w:shd w:val="clear" w:color="auto" w:fill="auto"/>
            <w:vAlign w:val="center"/>
          </w:tcPr>
          <w:p>
            <w:pPr>
              <w:pStyle w:val="16"/>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现场勘察人员及时间</w:t>
            </w:r>
          </w:p>
        </w:tc>
        <w:tc>
          <w:tcPr>
            <w:tcW w:w="7581" w:type="dxa"/>
            <w:gridSpan w:val="3"/>
            <w:tcBorders>
              <w:tl2br w:val="nil"/>
              <w:tr2bl w:val="nil"/>
            </w:tcBorders>
            <w:shd w:val="clear" w:color="auto" w:fill="auto"/>
            <w:vAlign w:val="center"/>
          </w:tcPr>
          <w:p>
            <w:pPr>
              <w:pStyle w:val="16"/>
            </w:pPr>
            <w:r>
              <w:rPr>
                <w:rFonts w:hint="eastAsia"/>
              </w:rPr>
              <w:t>塔娜、李春燕</w:t>
            </w:r>
            <w:r>
              <w:t>202</w:t>
            </w:r>
            <w:r>
              <w:rPr>
                <w:rFonts w:hint="eastAsia"/>
              </w:rPr>
              <w:t>3.11.10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rPr>
                <w:rFonts w:hint="eastAsia"/>
              </w:rPr>
              <w:t>现场核查的人员和时间</w:t>
            </w:r>
          </w:p>
        </w:tc>
        <w:tc>
          <w:tcPr>
            <w:tcW w:w="7581" w:type="dxa"/>
            <w:gridSpan w:val="3"/>
            <w:tcBorders>
              <w:tl2br w:val="nil"/>
              <w:tr2bl w:val="nil"/>
            </w:tcBorders>
            <w:shd w:val="clear" w:color="auto" w:fill="auto"/>
            <w:vAlign w:val="center"/>
          </w:tcPr>
          <w:p>
            <w:pPr>
              <w:pStyle w:val="16"/>
            </w:pPr>
            <w:r>
              <w:rPr>
                <w:rFonts w:hint="eastAsia"/>
              </w:rPr>
              <w:t>塔娜、李春燕2024.3.2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pPr>
            <w:r>
              <w:t>项目简介</w:t>
            </w:r>
          </w:p>
        </w:tc>
        <w:tc>
          <w:tcPr>
            <w:tcW w:w="7581" w:type="dxa"/>
            <w:gridSpan w:val="3"/>
            <w:tcBorders>
              <w:tl2br w:val="nil"/>
              <w:tr2bl w:val="nil"/>
            </w:tcBorders>
            <w:shd w:val="clear" w:color="auto" w:fill="auto"/>
          </w:tcPr>
          <w:p>
            <w:pPr>
              <w:pStyle w:val="16"/>
              <w:ind w:firstLine="480" w:firstLineChars="200"/>
            </w:pPr>
            <w:r>
              <w:rPr>
                <w:rFonts w:hint="eastAsia"/>
              </w:rPr>
              <w:t>南大光电（乌兰察布）有限公司位于内蒙古乌兰察布察哈尔高新技术开发区巴音产业园，成立于2021年2月9日，注册资本叁亿元，法人代表为冯剑松，企业原名称乌兰察布南大微电子材料有限公司，于2023年5月31日更名为南大光电（乌兰察布）有限公司，是由江苏南大光电材料股份有限公司和几位股东共同投资成立的一家高科技化工企业。</w:t>
            </w:r>
          </w:p>
          <w:p>
            <w:pPr>
              <w:pStyle w:val="16"/>
              <w:ind w:firstLine="480" w:firstLineChars="200"/>
            </w:pPr>
            <w:r>
              <w:rPr>
                <w:rFonts w:hint="eastAsia"/>
              </w:rPr>
              <w:t>南大光电（乌兰察布）有限公司拟对三氟化氮B1后处理工序进行技术改造，将三氟化氮处理能力由3600t/a提升至4500t/a，提纯A1~A5等5个电解车间所产的粗品三氟化氮。本次三氟化氮B1后处理技术改造主要涉及纯化、收集工序；去除收集，增设抽空泵2套，汽化器2台。总投资260万元，建设内容主要包括：优化工艺去除收集，增设抽空泵2套，汽化器2台，配套槽车清洗间，优化污水处理站。</w:t>
            </w:r>
          </w:p>
          <w:p>
            <w:pPr>
              <w:pStyle w:val="16"/>
              <w:ind w:firstLine="480" w:firstLineChars="200"/>
            </w:pPr>
            <w:r>
              <w:rPr>
                <w:rFonts w:hint="eastAsia"/>
              </w:rPr>
              <w:t>根据《产业结构调整指导目录（2024年本）》，该项目属于鼓励类第十一项“石化化工”中第9款“氟材料”范畴和第二十八项“信息产业”中第6条的“电子元器件生产专用材料”范畴，符合国家产业政策。</w:t>
            </w:r>
          </w:p>
          <w:p>
            <w:pPr>
              <w:pStyle w:val="16"/>
              <w:ind w:firstLine="560"/>
            </w:pPr>
            <w:r>
              <w:rPr>
                <w:rFonts w:hint="eastAsia"/>
              </w:rPr>
              <w:t>本次改造工程涉及的危险化学品有三氟化氮、氢氧化钾、氢氧化钠、氮气等。</w:t>
            </w:r>
          </w:p>
          <w:p>
            <w:pPr>
              <w:pStyle w:val="16"/>
              <w:ind w:firstLine="560"/>
            </w:pPr>
            <w:r>
              <w:rPr>
                <w:rFonts w:hint="eastAsia"/>
              </w:rPr>
              <w:t>依据《首批重点监管的危险化学品名录的通知》（安监总管三[2011] 95号）和《国家安全监管总局关于公布第二批重点监管危险化学品名录的通知》（安监总管三[2013]第12号），该公司不涉及重点监管的危险化学品。</w:t>
            </w:r>
          </w:p>
          <w:p>
            <w:pPr>
              <w:pStyle w:val="16"/>
              <w:ind w:firstLine="560"/>
            </w:pPr>
            <w:r>
              <w:rPr>
                <w:rFonts w:hint="eastAsia"/>
              </w:rPr>
              <w:t>本项目NF</w:t>
            </w:r>
            <w:r>
              <w:rPr>
                <w:rFonts w:hint="eastAsia"/>
                <w:vertAlign w:val="subscript"/>
              </w:rPr>
              <w:t>3</w:t>
            </w:r>
            <w:r>
              <w:rPr>
                <w:rFonts w:hint="eastAsia"/>
              </w:rPr>
              <w:t>的纯化工艺采用低温精馏法+化学吸收法。本项目的工艺不属于《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3号）规定的重点监管的危险化工工艺。</w:t>
            </w:r>
          </w:p>
          <w:p>
            <w:pPr>
              <w:pStyle w:val="16"/>
              <w:ind w:firstLine="560"/>
            </w:pPr>
            <w:r>
              <w:rPr>
                <w:rFonts w:hint="eastAsia"/>
              </w:rPr>
              <w:t>依据《危险化学品重大危险源辨识》（GB18218-2018）进行辨识分析可知，该公司B1后处理厂房构成四级危险化学品重大危险源。</w:t>
            </w:r>
          </w:p>
          <w:p>
            <w:pPr>
              <w:pStyle w:val="16"/>
              <w:ind w:firstLine="560"/>
            </w:pPr>
            <w:r>
              <w:rPr>
                <w:rFonts w:hint="eastAsia"/>
              </w:rPr>
              <w:t>评价结论：综上所述，南大光电（乌兰察布）有限公司三氟化氮B1后处理技术改造项目拟采用的工艺技术成熟，生产工艺和辅助设施拟采取的安全技术措施是可行的。该项目生产工艺及其生产设备设施安全风险程度在可控范围之内，本项目建设条件符合国家有关法律、法规和技术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16"/>
              <w:jc w:val="center"/>
            </w:pPr>
            <w:r>
              <w:t>现场照片</w:t>
            </w:r>
          </w:p>
        </w:tc>
        <w:tc>
          <w:tcPr>
            <w:tcW w:w="7581" w:type="dxa"/>
            <w:gridSpan w:val="3"/>
            <w:tcBorders>
              <w:tl2br w:val="nil"/>
              <w:tr2bl w:val="nil"/>
            </w:tcBorders>
            <w:shd w:val="clear" w:color="auto" w:fill="auto"/>
          </w:tcPr>
          <w:p>
            <w:pPr>
              <w:pStyle w:val="12"/>
              <w:snapToGrid w:val="0"/>
              <w:ind w:firstLine="0" w:firstLineChars="0"/>
              <w:jc w:val="both"/>
              <w:rPr>
                <w:sz w:val="21"/>
                <w:szCs w:val="21"/>
              </w:rPr>
            </w:pPr>
            <w:r>
              <w:drawing>
                <wp:inline distT="0" distB="0" distL="0" distR="0">
                  <wp:extent cx="2386330" cy="1793240"/>
                  <wp:effectExtent l="0" t="0" r="0" b="0"/>
                  <wp:docPr id="853822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296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90811" cy="1796541"/>
                          </a:xfrm>
                          <a:prstGeom prst="rect">
                            <a:avLst/>
                          </a:prstGeom>
                          <a:noFill/>
                          <a:ln>
                            <a:noFill/>
                          </a:ln>
                        </pic:spPr>
                      </pic:pic>
                    </a:graphicData>
                  </a:graphic>
                </wp:inline>
              </w:drawing>
            </w:r>
            <w:r>
              <w:drawing>
                <wp:inline distT="0" distB="0" distL="0" distR="0">
                  <wp:extent cx="2379345" cy="1792605"/>
                  <wp:effectExtent l="0" t="0" r="0" b="0"/>
                  <wp:docPr id="2091595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5975"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0165" cy="1800424"/>
                          </a:xfrm>
                          <a:prstGeom prst="rect">
                            <a:avLst/>
                          </a:prstGeom>
                          <a:noFill/>
                          <a:ln>
                            <a:noFill/>
                          </a:ln>
                        </pic:spPr>
                      </pic:pic>
                    </a:graphicData>
                  </a:graphic>
                </wp:inline>
              </w:drawing>
            </w:r>
          </w:p>
          <w:p>
            <w:pPr>
              <w:pStyle w:val="12"/>
              <w:snapToGrid w:val="0"/>
              <w:ind w:firstLine="0" w:firstLineChars="0"/>
              <w:jc w:val="both"/>
              <w:rPr>
                <w:sz w:val="21"/>
                <w:szCs w:val="21"/>
              </w:rPr>
            </w:pPr>
            <w:r>
              <w:drawing>
                <wp:inline distT="0" distB="0" distL="0" distR="0">
                  <wp:extent cx="2385060" cy="1810385"/>
                  <wp:effectExtent l="0" t="0" r="0" b="0"/>
                  <wp:docPr id="15784492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4929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5030" cy="1825095"/>
                          </a:xfrm>
                          <a:prstGeom prst="rect">
                            <a:avLst/>
                          </a:prstGeom>
                          <a:noFill/>
                          <a:ln>
                            <a:noFill/>
                          </a:ln>
                        </pic:spPr>
                      </pic:pic>
                    </a:graphicData>
                  </a:graphic>
                </wp:inline>
              </w:drawing>
            </w:r>
            <w:r>
              <w:drawing>
                <wp:inline distT="0" distB="0" distL="0" distR="0">
                  <wp:extent cx="2379345" cy="1812290"/>
                  <wp:effectExtent l="0" t="0" r="0" b="0"/>
                  <wp:docPr id="2029787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8730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89924" cy="1820959"/>
                          </a:xfrm>
                          <a:prstGeom prst="rect">
                            <a:avLst/>
                          </a:prstGeom>
                          <a:noFill/>
                          <a:ln>
                            <a:noFill/>
                          </a:ln>
                        </pic:spPr>
                      </pic:pic>
                    </a:graphicData>
                  </a:graphic>
                </wp:inline>
              </w:drawing>
            </w:r>
          </w:p>
          <w:p>
            <w:pPr>
              <w:pStyle w:val="12"/>
              <w:snapToGrid w:val="0"/>
              <w:ind w:firstLine="0" w:firstLineChars="0"/>
              <w:jc w:val="both"/>
              <w:rPr>
                <w:sz w:val="21"/>
                <w:szCs w:val="21"/>
              </w:rPr>
            </w:pPr>
            <w:r>
              <w:drawing>
                <wp:inline distT="0" distB="0" distL="0" distR="0">
                  <wp:extent cx="2472055" cy="1945640"/>
                  <wp:effectExtent l="0" t="0" r="0" b="0"/>
                  <wp:docPr id="19587958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95844"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78029" cy="1950196"/>
                          </a:xfrm>
                          <a:prstGeom prst="rect">
                            <a:avLst/>
                          </a:prstGeom>
                          <a:noFill/>
                          <a:ln>
                            <a:noFill/>
                          </a:ln>
                        </pic:spPr>
                      </pic:pic>
                    </a:graphicData>
                  </a:graphic>
                </wp:inline>
              </w:drawing>
            </w:r>
            <w:r>
              <w:drawing>
                <wp:inline distT="0" distB="0" distL="0" distR="0">
                  <wp:extent cx="2315210" cy="1945005"/>
                  <wp:effectExtent l="0" t="0" r="0" b="0"/>
                  <wp:docPr id="1652770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7024"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17961" cy="194758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73" w:type="dxa"/>
            <w:tcBorders>
              <w:tl2br w:val="nil"/>
              <w:tr2bl w:val="nil"/>
            </w:tcBorders>
            <w:shd w:val="clear" w:color="auto" w:fill="auto"/>
            <w:vAlign w:val="center"/>
          </w:tcPr>
          <w:p>
            <w:pPr>
              <w:pStyle w:val="16"/>
            </w:pPr>
            <w:r>
              <w:t>被评价单位信息反馈情况</w:t>
            </w:r>
          </w:p>
        </w:tc>
        <w:tc>
          <w:tcPr>
            <w:tcW w:w="7581" w:type="dxa"/>
            <w:gridSpan w:val="3"/>
            <w:tcBorders>
              <w:tl2br w:val="nil"/>
              <w:tr2bl w:val="nil"/>
            </w:tcBorders>
            <w:shd w:val="clear" w:color="auto" w:fill="auto"/>
            <w:vAlign w:val="center"/>
          </w:tcPr>
          <w:p>
            <w:pPr>
              <w:pStyle w:val="16"/>
              <w:ind w:firstLine="560"/>
            </w:pPr>
            <w:r>
              <w:rPr>
                <w:rFonts w:hint="eastAsia"/>
              </w:rPr>
              <w:t>满意</w:t>
            </w:r>
          </w:p>
        </w:tc>
      </w:tr>
    </w:tbl>
    <w:p>
      <w:pPr>
        <w:pStyle w:val="4"/>
        <w:ind w:firstLine="560"/>
      </w:pPr>
    </w:p>
    <w:p>
      <w:pPr>
        <w:pStyle w:val="4"/>
        <w:ind w:firstLine="560"/>
      </w:pPr>
    </w:p>
    <w:p>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项目名称</w:t>
            </w:r>
          </w:p>
        </w:tc>
        <w:tc>
          <w:tcPr>
            <w:tcW w:w="7581" w:type="dxa"/>
            <w:gridSpan w:val="3"/>
            <w:tcBorders>
              <w:tl2br w:val="nil"/>
              <w:tr2bl w:val="nil"/>
            </w:tcBorders>
            <w:shd w:val="clear" w:color="auto" w:fill="auto"/>
            <w:vAlign w:val="center"/>
          </w:tcPr>
          <w:p>
            <w:pPr>
              <w:pStyle w:val="16"/>
            </w:pPr>
            <w:r>
              <w:rPr>
                <w:rFonts w:hint="eastAsia"/>
              </w:rPr>
              <w:t>新绛县信义源铁合金有限公司节能环保升级改造项目安全设施验收评价报告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完成时间</w:t>
            </w:r>
          </w:p>
        </w:tc>
        <w:tc>
          <w:tcPr>
            <w:tcW w:w="7581" w:type="dxa"/>
            <w:gridSpan w:val="3"/>
            <w:tcBorders>
              <w:tl2br w:val="nil"/>
              <w:tr2bl w:val="nil"/>
            </w:tcBorders>
            <w:shd w:val="clear" w:color="auto" w:fill="auto"/>
            <w:vAlign w:val="center"/>
          </w:tcPr>
          <w:p>
            <w:pPr>
              <w:pStyle w:val="16"/>
            </w:pPr>
            <w:r>
              <w:rPr>
                <w:rFonts w:hint="eastAsia"/>
              </w:rPr>
              <w:t>202</w:t>
            </w:r>
            <w:r>
              <w:t>4.3.15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6"/>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jc w:val="center"/>
            </w:pPr>
            <w:r>
              <w:t>姓名</w:t>
            </w:r>
          </w:p>
        </w:tc>
        <w:tc>
          <w:tcPr>
            <w:tcW w:w="3864" w:type="dxa"/>
            <w:tcBorders>
              <w:tl2br w:val="nil"/>
              <w:tr2bl w:val="nil"/>
            </w:tcBorders>
            <w:shd w:val="clear" w:color="auto" w:fill="auto"/>
            <w:vAlign w:val="center"/>
          </w:tcPr>
          <w:p>
            <w:pPr>
              <w:pStyle w:val="16"/>
              <w:jc w:val="center"/>
            </w:pPr>
            <w:r>
              <w:t>资格证书号</w:t>
            </w:r>
          </w:p>
        </w:tc>
        <w:tc>
          <w:tcPr>
            <w:tcW w:w="1897" w:type="dxa"/>
            <w:tcBorders>
              <w:tl2br w:val="nil"/>
              <w:tr2bl w:val="nil"/>
            </w:tcBorders>
            <w:shd w:val="clear" w:color="auto" w:fill="auto"/>
            <w:vAlign w:val="center"/>
          </w:tcPr>
          <w:p>
            <w:pPr>
              <w:pStyle w:val="16"/>
              <w:jc w:val="cente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项目负责人</w:t>
            </w:r>
          </w:p>
        </w:tc>
        <w:tc>
          <w:tcPr>
            <w:tcW w:w="1820" w:type="dxa"/>
            <w:tcBorders>
              <w:tl2br w:val="nil"/>
              <w:tr2bl w:val="nil"/>
            </w:tcBorders>
            <w:shd w:val="clear" w:color="auto" w:fill="auto"/>
            <w:vAlign w:val="center"/>
          </w:tcPr>
          <w:p>
            <w:pPr>
              <w:pStyle w:val="16"/>
              <w:jc w:val="center"/>
            </w:pPr>
            <w:r>
              <w:t>塔  娜</w:t>
            </w:r>
          </w:p>
        </w:tc>
        <w:tc>
          <w:tcPr>
            <w:tcW w:w="3864" w:type="dxa"/>
            <w:tcBorders>
              <w:tl2br w:val="nil"/>
              <w:tr2bl w:val="nil"/>
            </w:tcBorders>
            <w:shd w:val="clear" w:color="auto" w:fill="auto"/>
            <w:vAlign w:val="center"/>
          </w:tcPr>
          <w:p>
            <w:pPr>
              <w:pStyle w:val="16"/>
              <w:jc w:val="center"/>
            </w:pPr>
            <w:r>
              <w:t>1700000000200088</w:t>
            </w:r>
          </w:p>
        </w:tc>
        <w:tc>
          <w:tcPr>
            <w:tcW w:w="1897" w:type="dxa"/>
            <w:tcBorders>
              <w:tl2br w:val="nil"/>
              <w:tr2bl w:val="nil"/>
            </w:tcBorders>
            <w:shd w:val="clear" w:color="auto" w:fill="auto"/>
            <w:vAlign w:val="center"/>
          </w:tcPr>
          <w:p>
            <w:pPr>
              <w:pStyle w:val="16"/>
              <w:jc w:val="center"/>
            </w:pPr>
            <w: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6"/>
            </w:pPr>
            <w:r>
              <w:t>项目组成员</w:t>
            </w:r>
          </w:p>
        </w:tc>
        <w:tc>
          <w:tcPr>
            <w:tcW w:w="1820" w:type="dxa"/>
            <w:tcBorders>
              <w:tl2br w:val="nil"/>
              <w:tr2bl w:val="nil"/>
            </w:tcBorders>
            <w:shd w:val="clear" w:color="auto" w:fill="auto"/>
            <w:vAlign w:val="center"/>
          </w:tcPr>
          <w:p>
            <w:pPr>
              <w:pStyle w:val="16"/>
              <w:jc w:val="center"/>
            </w:pPr>
            <w:r>
              <w:t>韦根远</w:t>
            </w:r>
          </w:p>
        </w:tc>
        <w:tc>
          <w:tcPr>
            <w:tcW w:w="3864" w:type="dxa"/>
            <w:tcBorders>
              <w:tl2br w:val="nil"/>
              <w:tr2bl w:val="nil"/>
            </w:tcBorders>
            <w:shd w:val="clear" w:color="auto" w:fill="auto"/>
            <w:vAlign w:val="center"/>
          </w:tcPr>
          <w:p>
            <w:pPr>
              <w:pStyle w:val="16"/>
              <w:jc w:val="center"/>
            </w:pPr>
            <w:r>
              <w:t xml:space="preserve"> S011044000110191001083</w:t>
            </w:r>
          </w:p>
        </w:tc>
        <w:tc>
          <w:tcPr>
            <w:tcW w:w="1897" w:type="dxa"/>
            <w:tcBorders>
              <w:tl2br w:val="nil"/>
              <w:tr2bl w:val="nil"/>
            </w:tcBorders>
            <w:shd w:val="clear" w:color="auto" w:fill="auto"/>
            <w:vAlign w:val="center"/>
          </w:tcPr>
          <w:p>
            <w:pPr>
              <w:pStyle w:val="16"/>
              <w:jc w:val="center"/>
            </w:pPr>
            <w: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jc w:val="center"/>
            </w:pPr>
            <w:r>
              <w:t>刘云红</w:t>
            </w:r>
          </w:p>
        </w:tc>
        <w:tc>
          <w:tcPr>
            <w:tcW w:w="3864" w:type="dxa"/>
            <w:tcBorders>
              <w:tl2br w:val="nil"/>
              <w:tr2bl w:val="nil"/>
            </w:tcBorders>
            <w:shd w:val="clear" w:color="auto" w:fill="auto"/>
            <w:vAlign w:val="center"/>
          </w:tcPr>
          <w:p>
            <w:pPr>
              <w:pStyle w:val="16"/>
              <w:jc w:val="center"/>
            </w:pPr>
            <w:r>
              <w:t>1800000000200682</w:t>
            </w:r>
          </w:p>
        </w:tc>
        <w:tc>
          <w:tcPr>
            <w:tcW w:w="1897" w:type="dxa"/>
            <w:tcBorders>
              <w:tl2br w:val="nil"/>
              <w:tr2bl w:val="nil"/>
            </w:tcBorders>
            <w:shd w:val="clear" w:color="auto" w:fill="auto"/>
            <w:vAlign w:val="center"/>
          </w:tcPr>
          <w:p>
            <w:pPr>
              <w:pStyle w:val="16"/>
              <w:jc w:val="center"/>
            </w:pPr>
            <w: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jc w:val="center"/>
            </w:pPr>
            <w:r>
              <w:t>张晋慧</w:t>
            </w:r>
          </w:p>
        </w:tc>
        <w:tc>
          <w:tcPr>
            <w:tcW w:w="3864" w:type="dxa"/>
            <w:tcBorders>
              <w:tl2br w:val="nil"/>
              <w:tr2bl w:val="nil"/>
            </w:tcBorders>
            <w:shd w:val="clear" w:color="auto" w:fill="auto"/>
            <w:vAlign w:val="center"/>
          </w:tcPr>
          <w:p>
            <w:pPr>
              <w:pStyle w:val="16"/>
              <w:jc w:val="center"/>
            </w:pPr>
            <w:r>
              <w:t>1100000000302946</w:t>
            </w:r>
          </w:p>
        </w:tc>
        <w:tc>
          <w:tcPr>
            <w:tcW w:w="1897" w:type="dxa"/>
            <w:tcBorders>
              <w:tl2br w:val="nil"/>
              <w:tr2bl w:val="nil"/>
            </w:tcBorders>
            <w:shd w:val="clear" w:color="auto" w:fill="auto"/>
            <w:vAlign w:val="center"/>
          </w:tcPr>
          <w:p>
            <w:pPr>
              <w:pStyle w:val="16"/>
              <w:jc w:val="center"/>
            </w:pPr>
            <w: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pPr>
          </w:p>
        </w:tc>
        <w:tc>
          <w:tcPr>
            <w:tcW w:w="1820" w:type="dxa"/>
            <w:tcBorders>
              <w:tl2br w:val="nil"/>
              <w:tr2bl w:val="nil"/>
            </w:tcBorders>
            <w:shd w:val="clear" w:color="auto" w:fill="auto"/>
            <w:vAlign w:val="center"/>
          </w:tcPr>
          <w:p>
            <w:pPr>
              <w:pStyle w:val="16"/>
              <w:jc w:val="center"/>
            </w:pPr>
            <w:r>
              <w:t>谢胜军</w:t>
            </w:r>
          </w:p>
        </w:tc>
        <w:tc>
          <w:tcPr>
            <w:tcW w:w="3864" w:type="dxa"/>
            <w:tcBorders>
              <w:tl2br w:val="nil"/>
              <w:tr2bl w:val="nil"/>
            </w:tcBorders>
            <w:shd w:val="clear" w:color="auto" w:fill="auto"/>
            <w:vAlign w:val="center"/>
          </w:tcPr>
          <w:p>
            <w:pPr>
              <w:pStyle w:val="16"/>
              <w:jc w:val="center"/>
            </w:pPr>
            <w:r>
              <w:t>1600000000200723</w:t>
            </w:r>
          </w:p>
        </w:tc>
        <w:tc>
          <w:tcPr>
            <w:tcW w:w="1897" w:type="dxa"/>
            <w:tcBorders>
              <w:tl2br w:val="nil"/>
              <w:tr2bl w:val="nil"/>
            </w:tcBorders>
            <w:shd w:val="clear" w:color="auto" w:fill="auto"/>
            <w:vAlign w:val="center"/>
          </w:tcPr>
          <w:p>
            <w:pPr>
              <w:pStyle w:val="16"/>
              <w:jc w:val="center"/>
            </w:pPr>
            <w: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技术专家</w:t>
            </w:r>
          </w:p>
        </w:tc>
        <w:tc>
          <w:tcPr>
            <w:tcW w:w="7581" w:type="dxa"/>
            <w:gridSpan w:val="3"/>
            <w:tcBorders>
              <w:tl2br w:val="nil"/>
              <w:tr2bl w:val="nil"/>
            </w:tcBorders>
            <w:shd w:val="clear" w:color="auto" w:fill="auto"/>
            <w:vAlign w:val="center"/>
          </w:tcPr>
          <w:p>
            <w:pPr>
              <w:pStyle w:val="16"/>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现场勘察人员及时间</w:t>
            </w:r>
          </w:p>
        </w:tc>
        <w:tc>
          <w:tcPr>
            <w:tcW w:w="7581" w:type="dxa"/>
            <w:gridSpan w:val="3"/>
            <w:tcBorders>
              <w:tl2br w:val="nil"/>
              <w:tr2bl w:val="nil"/>
            </w:tcBorders>
            <w:shd w:val="clear" w:color="auto" w:fill="auto"/>
            <w:vAlign w:val="center"/>
          </w:tcPr>
          <w:p>
            <w:pPr>
              <w:pStyle w:val="16"/>
            </w:pPr>
            <w:r>
              <w:t>塔  娜</w:t>
            </w:r>
            <w:r>
              <w:rPr>
                <w:rFonts w:hint="eastAsia"/>
              </w:rPr>
              <w:t>、</w:t>
            </w:r>
            <w:r>
              <w:t>张晋慧</w:t>
            </w:r>
            <w:r>
              <w:rPr>
                <w:rFonts w:hint="eastAsia"/>
              </w:rPr>
              <w:t xml:space="preserve">  202</w:t>
            </w:r>
            <w:r>
              <w:t>3.11.20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rPr>
                <w:rFonts w:hint="eastAsia"/>
              </w:rPr>
              <w:t>现场核查的人员和时间</w:t>
            </w:r>
          </w:p>
        </w:tc>
        <w:tc>
          <w:tcPr>
            <w:tcW w:w="7581" w:type="dxa"/>
            <w:gridSpan w:val="3"/>
            <w:tcBorders>
              <w:tl2br w:val="nil"/>
              <w:tr2bl w:val="nil"/>
            </w:tcBorders>
            <w:shd w:val="clear" w:color="auto" w:fill="auto"/>
            <w:vAlign w:val="center"/>
          </w:tcPr>
          <w:p>
            <w:pPr>
              <w:pStyle w:val="1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7" w:hRule="atLeast"/>
          <w:jc w:val="center"/>
        </w:trPr>
        <w:tc>
          <w:tcPr>
            <w:tcW w:w="1773" w:type="dxa"/>
            <w:tcBorders>
              <w:tl2br w:val="nil"/>
              <w:tr2bl w:val="nil"/>
            </w:tcBorders>
            <w:shd w:val="clear" w:color="auto" w:fill="auto"/>
            <w:vAlign w:val="center"/>
          </w:tcPr>
          <w:p>
            <w:pPr>
              <w:pStyle w:val="16"/>
            </w:pPr>
            <w:r>
              <w:t>项目简介</w:t>
            </w:r>
          </w:p>
        </w:tc>
        <w:tc>
          <w:tcPr>
            <w:tcW w:w="7581" w:type="dxa"/>
            <w:gridSpan w:val="3"/>
            <w:tcBorders>
              <w:tl2br w:val="nil"/>
              <w:tr2bl w:val="nil"/>
            </w:tcBorders>
            <w:shd w:val="clear" w:color="auto" w:fill="auto"/>
          </w:tcPr>
          <w:p>
            <w:pPr>
              <w:pStyle w:val="16"/>
              <w:spacing w:line="400" w:lineRule="exact"/>
              <w:ind w:firstLine="480" w:firstLineChars="200"/>
            </w:pPr>
            <w:r>
              <w:rPr>
                <w:rFonts w:hint="eastAsia"/>
              </w:rPr>
              <w:t>新绛县信义源铁合金有限公司成立于2015年5月22日，公司位于新绛县煤化产业循环经济示范园区东部现有产业集中区内。2015年5月29日，公司取得年产十万吨硅锰合金项目企业投资项目备案证（运发改备案[2015]9号），主要建设内容包括2×2.5万千伏安电频炉（硅锰合金炉）。后建设单位应环保要求，拆除原有的2×2.5万千伏安电频炉（硅锰合金炉）升级改造为1×5万千伏安电频炉（硅锰合金炉）。并于2021年3月19日取得节能环保升级改造项目企业投资项目备案证，（项目代码：2103-140868-89-01-149448）</w:t>
            </w:r>
            <w:r>
              <w:rPr>
                <w:rFonts w:hint="eastAsia" w:ascii="Times New Roman" w:hAnsi="Times New Roman"/>
                <w:bCs/>
                <w:szCs w:val="21"/>
              </w:rPr>
              <w:t>。</w:t>
            </w:r>
          </w:p>
          <w:p>
            <w:pPr>
              <w:pStyle w:val="16"/>
              <w:spacing w:line="400" w:lineRule="exact"/>
              <w:ind w:firstLine="200"/>
            </w:pPr>
            <w:r>
              <w:rPr>
                <w:rFonts w:hint="eastAsia"/>
              </w:rPr>
              <w:t>评价结论：</w:t>
            </w:r>
          </w:p>
          <w:p>
            <w:pPr>
              <w:pStyle w:val="16"/>
              <w:spacing w:line="400" w:lineRule="exact"/>
              <w:ind w:firstLine="200"/>
            </w:pPr>
            <w:r>
              <w:rPr>
                <w:rFonts w:hint="eastAsia"/>
              </w:rPr>
              <w:t>建设单位安全管理规范，建设项目的生产系统、辅助系统及其配套的安全设施、设备、装置安装基本到位，事故发生的可能性和严重程度较小，项目存在的危险、有害因素在采取安全对策措施后可以得到控制，危险危害程度能够降低到可承受水平。山东新安达工程咨询有限公司认为：新绛县信义源铁合金有限公司节能环保升级改造项目满足安全设施设计的要求，符合国家及山西省有关安全生产法律、法规、标准和规范的规定，具备安全设施验收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2" w:hRule="atLeast"/>
          <w:jc w:val="center"/>
        </w:trPr>
        <w:tc>
          <w:tcPr>
            <w:tcW w:w="1773" w:type="dxa"/>
            <w:tcBorders>
              <w:tl2br w:val="nil"/>
              <w:tr2bl w:val="nil"/>
            </w:tcBorders>
            <w:shd w:val="clear" w:color="auto" w:fill="auto"/>
            <w:vAlign w:val="center"/>
          </w:tcPr>
          <w:p>
            <w:pPr>
              <w:pStyle w:val="16"/>
            </w:pPr>
            <w:r>
              <w:t>现场照片</w:t>
            </w:r>
          </w:p>
        </w:tc>
        <w:tc>
          <w:tcPr>
            <w:tcW w:w="7581" w:type="dxa"/>
            <w:gridSpan w:val="3"/>
            <w:tcBorders>
              <w:tl2br w:val="nil"/>
              <w:tr2bl w:val="nil"/>
            </w:tcBorders>
            <w:shd w:val="clear" w:color="auto" w:fill="auto"/>
          </w:tcPr>
          <w:p>
            <w:pPr>
              <w:pStyle w:val="16"/>
            </w:pPr>
          </w:p>
          <w:p>
            <w:pPr>
              <w:pStyle w:val="16"/>
              <w:jc w:val="center"/>
            </w:pPr>
            <w:r>
              <w:drawing>
                <wp:inline distT="0" distB="0" distL="0" distR="0">
                  <wp:extent cx="3563620" cy="2560955"/>
                  <wp:effectExtent l="0" t="0" r="1778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rcRect b="776"/>
                          <a:stretch>
                            <a:fillRect/>
                          </a:stretch>
                        </pic:blipFill>
                        <pic:spPr>
                          <a:xfrm>
                            <a:off x="0" y="0"/>
                            <a:ext cx="3590130" cy="2580239"/>
                          </a:xfrm>
                          <a:prstGeom prst="rect">
                            <a:avLst/>
                          </a:prstGeom>
                          <a:ln>
                            <a:noFill/>
                          </a:ln>
                        </pic:spPr>
                      </pic:pic>
                    </a:graphicData>
                  </a:graphic>
                </wp:inline>
              </w:drawing>
            </w:r>
          </w:p>
          <w:p>
            <w:r>
              <w:drawing>
                <wp:inline distT="0" distB="0" distL="0" distR="0">
                  <wp:extent cx="3550920" cy="2633345"/>
                  <wp:effectExtent l="0" t="0" r="1143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3559338" cy="2639405"/>
                          </a:xfrm>
                          <a:prstGeom prst="rect">
                            <a:avLst/>
                          </a:prstGeom>
                        </pic:spPr>
                      </pic:pic>
                    </a:graphicData>
                  </a:graphic>
                </wp:inline>
              </w:drawing>
            </w:r>
          </w:p>
          <w:p>
            <w:pPr>
              <w:pStyle w:val="13"/>
              <w:ind w:left="0" w:leftChars="0" w:firstLine="0" w:firstLineChars="0"/>
            </w:pPr>
            <w:r>
              <w:drawing>
                <wp:inline distT="0" distB="0" distL="0" distR="0">
                  <wp:extent cx="3545205" cy="2714625"/>
                  <wp:effectExtent l="0" t="0" r="171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554666" cy="272150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pPr>
            <w:r>
              <w:t>被评价单位信息反馈情况</w:t>
            </w:r>
          </w:p>
        </w:tc>
        <w:tc>
          <w:tcPr>
            <w:tcW w:w="7581" w:type="dxa"/>
            <w:gridSpan w:val="3"/>
            <w:tcBorders>
              <w:tl2br w:val="nil"/>
              <w:tr2bl w:val="nil"/>
            </w:tcBorders>
            <w:shd w:val="clear" w:color="auto" w:fill="auto"/>
            <w:vAlign w:val="center"/>
          </w:tcPr>
          <w:p>
            <w:pPr>
              <w:pStyle w:val="16"/>
            </w:pPr>
            <w:r>
              <w:t>满意</w:t>
            </w:r>
          </w:p>
        </w:tc>
      </w:tr>
    </w:tbl>
    <w:p>
      <w:pPr>
        <w:pStyle w:val="4"/>
        <w:ind w:left="0" w:leftChars="0" w:firstLine="0" w:firstLineChars="0"/>
      </w:pPr>
      <w:bookmarkStart w:id="4" w:name="_GoBack"/>
      <w:bookmarkEnd w:id="4"/>
    </w:p>
    <w:sectPr>
      <w:footerReference r:id="rId3" w:type="default"/>
      <w:pgSz w:w="11906" w:h="16838"/>
      <w:pgMar w:top="1417"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PAGE   \* MERGEFORMAT</w:instrText>
    </w:r>
    <w:r>
      <w:fldChar w:fldCharType="separate"/>
    </w:r>
    <w:r>
      <w:rPr>
        <w:lang w:val="zh-CN"/>
      </w:rPr>
      <w:t>1</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QzZDQ5NzY5ZjA0MzgxMmJlMDM2MWRhNWVhY2YwNTcifQ=="/>
  </w:docVars>
  <w:rsids>
    <w:rsidRoot w:val="00E3751A"/>
    <w:rsid w:val="000205A2"/>
    <w:rsid w:val="00047227"/>
    <w:rsid w:val="00073BC9"/>
    <w:rsid w:val="000D4DD4"/>
    <w:rsid w:val="00111E50"/>
    <w:rsid w:val="001337D2"/>
    <w:rsid w:val="00143434"/>
    <w:rsid w:val="0020045D"/>
    <w:rsid w:val="00201A31"/>
    <w:rsid w:val="00222064"/>
    <w:rsid w:val="00223E1A"/>
    <w:rsid w:val="002C5D35"/>
    <w:rsid w:val="002D4017"/>
    <w:rsid w:val="002F13B4"/>
    <w:rsid w:val="00302140"/>
    <w:rsid w:val="00303C12"/>
    <w:rsid w:val="00317533"/>
    <w:rsid w:val="003404F7"/>
    <w:rsid w:val="00383879"/>
    <w:rsid w:val="003D1FFE"/>
    <w:rsid w:val="00430A4C"/>
    <w:rsid w:val="00433458"/>
    <w:rsid w:val="00476AFD"/>
    <w:rsid w:val="0048538C"/>
    <w:rsid w:val="004D1AF7"/>
    <w:rsid w:val="005579AD"/>
    <w:rsid w:val="005932A1"/>
    <w:rsid w:val="005B6C28"/>
    <w:rsid w:val="005D27E1"/>
    <w:rsid w:val="00600079"/>
    <w:rsid w:val="00646839"/>
    <w:rsid w:val="006500D2"/>
    <w:rsid w:val="006541E9"/>
    <w:rsid w:val="00674F23"/>
    <w:rsid w:val="006A74CF"/>
    <w:rsid w:val="007169CC"/>
    <w:rsid w:val="00732DE3"/>
    <w:rsid w:val="00756850"/>
    <w:rsid w:val="007C5297"/>
    <w:rsid w:val="007E4B17"/>
    <w:rsid w:val="007F66C8"/>
    <w:rsid w:val="0080265E"/>
    <w:rsid w:val="00822206"/>
    <w:rsid w:val="0085093D"/>
    <w:rsid w:val="00870A5F"/>
    <w:rsid w:val="00872381"/>
    <w:rsid w:val="00874B0B"/>
    <w:rsid w:val="00893835"/>
    <w:rsid w:val="008D7E03"/>
    <w:rsid w:val="008F5EAC"/>
    <w:rsid w:val="009340BD"/>
    <w:rsid w:val="009578C6"/>
    <w:rsid w:val="009D04A6"/>
    <w:rsid w:val="00A1008F"/>
    <w:rsid w:val="00A12747"/>
    <w:rsid w:val="00A17648"/>
    <w:rsid w:val="00A56C32"/>
    <w:rsid w:val="00AA3C25"/>
    <w:rsid w:val="00AD5018"/>
    <w:rsid w:val="00AE4E05"/>
    <w:rsid w:val="00B461F4"/>
    <w:rsid w:val="00B53637"/>
    <w:rsid w:val="00B61870"/>
    <w:rsid w:val="00B66EC5"/>
    <w:rsid w:val="00C64BFB"/>
    <w:rsid w:val="00C75118"/>
    <w:rsid w:val="00C82162"/>
    <w:rsid w:val="00CA0273"/>
    <w:rsid w:val="00CA3FC9"/>
    <w:rsid w:val="00CD3226"/>
    <w:rsid w:val="00CE374A"/>
    <w:rsid w:val="00CF2C7E"/>
    <w:rsid w:val="00D5032F"/>
    <w:rsid w:val="00D7059A"/>
    <w:rsid w:val="00DA288C"/>
    <w:rsid w:val="00DA31FB"/>
    <w:rsid w:val="00E00301"/>
    <w:rsid w:val="00E01064"/>
    <w:rsid w:val="00E0459D"/>
    <w:rsid w:val="00E3751A"/>
    <w:rsid w:val="00E71570"/>
    <w:rsid w:val="00E8365B"/>
    <w:rsid w:val="00F00D41"/>
    <w:rsid w:val="00F161F3"/>
    <w:rsid w:val="00F241B8"/>
    <w:rsid w:val="00F259D2"/>
    <w:rsid w:val="00F5504C"/>
    <w:rsid w:val="00F615FE"/>
    <w:rsid w:val="00FC1F49"/>
    <w:rsid w:val="00FD5ED2"/>
    <w:rsid w:val="01381A2C"/>
    <w:rsid w:val="067C6F0E"/>
    <w:rsid w:val="06EF6353"/>
    <w:rsid w:val="07D32EB9"/>
    <w:rsid w:val="0A3600A6"/>
    <w:rsid w:val="0AB524E1"/>
    <w:rsid w:val="0E53337E"/>
    <w:rsid w:val="17810296"/>
    <w:rsid w:val="17C601C4"/>
    <w:rsid w:val="188D103C"/>
    <w:rsid w:val="18CA2EBE"/>
    <w:rsid w:val="1B9F4DB7"/>
    <w:rsid w:val="1CD17A8D"/>
    <w:rsid w:val="1D7F5852"/>
    <w:rsid w:val="23356346"/>
    <w:rsid w:val="276E1EEA"/>
    <w:rsid w:val="29925FE1"/>
    <w:rsid w:val="29F53ECF"/>
    <w:rsid w:val="2E046C06"/>
    <w:rsid w:val="32CC6EE2"/>
    <w:rsid w:val="385C2AEB"/>
    <w:rsid w:val="3C7D28D5"/>
    <w:rsid w:val="3EDC6032"/>
    <w:rsid w:val="41912F5E"/>
    <w:rsid w:val="42C53343"/>
    <w:rsid w:val="43C0308C"/>
    <w:rsid w:val="48EC5AF0"/>
    <w:rsid w:val="4E3D5914"/>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Cs w:val="20"/>
    </w:rPr>
  </w:style>
  <w:style w:type="paragraph" w:styleId="5">
    <w:name w:val="Body Text"/>
    <w:basedOn w:val="1"/>
    <w:qFormat/>
    <w:uiPriority w:val="99"/>
    <w:rPr>
      <w:szCs w:val="28"/>
    </w:rPr>
  </w:style>
  <w:style w:type="paragraph" w:styleId="6">
    <w:name w:val="Body Text Indent"/>
    <w:basedOn w:val="1"/>
    <w:next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pPr>
    <w:rPr>
      <w:sz w:val="18"/>
      <w:szCs w:val="18"/>
    </w:rPr>
  </w:style>
  <w:style w:type="paragraph" w:styleId="12">
    <w:name w:val="Body Text First Indent"/>
    <w:basedOn w:val="1"/>
    <w:qFormat/>
    <w:uiPriority w:val="0"/>
    <w:pPr>
      <w:spacing w:after="120"/>
      <w:ind w:firstLine="420" w:firstLineChars="100"/>
    </w:pPr>
  </w:style>
  <w:style w:type="paragraph" w:styleId="13">
    <w:name w:val="Body Text First Indent 2"/>
    <w:basedOn w:val="6"/>
    <w:next w:val="12"/>
    <w:unhideWhenUsed/>
    <w:qFormat/>
    <w:uiPriority w:val="99"/>
    <w:pPr>
      <w:ind w:firstLine="420" w:firstLineChars="200"/>
    </w:pPr>
  </w:style>
  <w:style w:type="paragraph" w:customStyle="1" w:styleId="16">
    <w:name w:val="表格"/>
    <w:basedOn w:val="1"/>
    <w:next w:val="1"/>
    <w:qFormat/>
    <w:uiPriority w:val="0"/>
    <w:pPr>
      <w:adjustRightInd w:val="0"/>
      <w:snapToGrid w:val="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Pages>
  <Words>196</Words>
  <Characters>1119</Characters>
  <Lines>9</Lines>
  <Paragraphs>2</Paragraphs>
  <TotalTime>0</TotalTime>
  <ScaleCrop>false</ScaleCrop>
  <LinksUpToDate>false</LinksUpToDate>
  <CharactersWithSpaces>1313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小敏</cp:lastModifiedBy>
  <dcterms:modified xsi:type="dcterms:W3CDTF">2024-04-07T09:36:31Z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3D417A7DA0144CEDA15801581E78EFE2</vt:lpwstr>
  </property>
</Properties>
</file>